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79042C4" w14:textId="77777777" w:rsidR="003F60E4" w:rsidRDefault="0049430B" w:rsidP="00561CB7">
      <w:pPr>
        <w:pStyle w:val="Nadpis1"/>
        <w:spacing w:before="0"/>
        <w:rPr>
          <w:b/>
          <w:color w:val="A24A0E"/>
          <w:lang w:val="de-DE"/>
          <w14:textFill>
            <w14:solidFill>
              <w14:srgbClr w14:val="A24A0E">
                <w14:lumMod w14:val="50000"/>
              </w14:srgbClr>
            </w14:solidFill>
          </w14:textFill>
        </w:rPr>
      </w:pPr>
      <w:r w:rsidRPr="00793642">
        <w:rPr>
          <w:b/>
          <w:color w:val="A24A0E"/>
          <w:lang w:val="de-DE"/>
          <w14:textFill>
            <w14:solidFill>
              <w14:srgbClr w14:val="A24A0E">
                <w14:lumMod w14:val="50000"/>
              </w14:srgbClr>
            </w14:solidFill>
          </w14:textFill>
        </w:rPr>
        <w:t>Das Tschechische Symphonieorchester Prag</w:t>
      </w:r>
    </w:p>
    <w:p w14:paraId="4F3AC9BB" w14:textId="77777777" w:rsidR="00561CB7" w:rsidRPr="00561CB7" w:rsidRDefault="00561CB7" w:rsidP="00561CB7">
      <w:pPr>
        <w:spacing w:after="0"/>
        <w:rPr>
          <w:sz w:val="14"/>
          <w:szCs w:val="14"/>
          <w:lang w:val="de-DE"/>
        </w:rPr>
      </w:pPr>
    </w:p>
    <w:p w14:paraId="145E202A" w14:textId="034A8C26" w:rsidR="005B30A2" w:rsidRPr="003F60E4" w:rsidRDefault="005B30A2" w:rsidP="00793642">
      <w:pPr>
        <w:spacing w:after="0"/>
        <w:jc w:val="both"/>
        <w:rPr>
          <w:lang w:val="de-DE"/>
        </w:rPr>
      </w:pPr>
      <w:r w:rsidRPr="003F60E4">
        <w:rPr>
          <w:lang w:val="de-DE"/>
        </w:rPr>
        <w:t xml:space="preserve">Das </w:t>
      </w:r>
      <w:r w:rsidRPr="003F60E4">
        <w:rPr>
          <w:i/>
          <w:lang w:val="de-DE"/>
        </w:rPr>
        <w:t>Tschechische Symphonieorchester Prag</w:t>
      </w:r>
      <w:r w:rsidRPr="003F60E4">
        <w:rPr>
          <w:lang w:val="de-DE"/>
        </w:rPr>
        <w:t xml:space="preserve"> ist ein professionelles Symphonieorchester gegründet im Jahre 1994 als Nachfolger des berühmten Film Symphony Orchestra </w:t>
      </w:r>
      <w:r w:rsidR="00470F34" w:rsidRPr="003F60E4">
        <w:rPr>
          <w:lang w:val="de-DE"/>
        </w:rPr>
        <w:t>–</w:t>
      </w:r>
      <w:r w:rsidRPr="003F60E4">
        <w:rPr>
          <w:lang w:val="de-DE"/>
        </w:rPr>
        <w:t xml:space="preserve"> FISIO</w:t>
      </w:r>
      <w:r w:rsidR="00470F34" w:rsidRPr="003F60E4">
        <w:rPr>
          <w:lang w:val="de-DE"/>
        </w:rPr>
        <w:t>.</w:t>
      </w:r>
      <w:r w:rsidR="00AD3CB8">
        <w:rPr>
          <w:lang w:val="de-DE"/>
        </w:rPr>
        <w:t xml:space="preserve"> </w:t>
      </w:r>
    </w:p>
    <w:p w14:paraId="7A049F41" w14:textId="517FF742" w:rsidR="00470F34" w:rsidRPr="003F60E4" w:rsidRDefault="004F21EB" w:rsidP="00793642">
      <w:pPr>
        <w:spacing w:after="100"/>
        <w:jc w:val="both"/>
        <w:rPr>
          <w:lang w:val="de-DE"/>
        </w:rPr>
      </w:pPr>
      <w:r>
        <w:rPr>
          <w:rFonts w:eastAsia="Calibri" w:cs="Arial"/>
          <w:noProof/>
          <w:color w:val="000000" w:themeColor="text1"/>
          <w:sz w:val="24"/>
          <w:lang w:val="de-DE"/>
        </w:rPr>
        <w:drawing>
          <wp:anchor distT="0" distB="71755" distL="114300" distR="114300" simplePos="0" relativeHeight="251653120" behindDoc="0" locked="0" layoutInCell="1" allowOverlap="1" wp14:anchorId="35485B15" wp14:editId="01B994B5">
            <wp:simplePos x="0" y="0"/>
            <wp:positionH relativeFrom="column">
              <wp:posOffset>-3810</wp:posOffset>
            </wp:positionH>
            <wp:positionV relativeFrom="page">
              <wp:posOffset>2423160</wp:posOffset>
            </wp:positionV>
            <wp:extent cx="6233160" cy="2703195"/>
            <wp:effectExtent l="0" t="0" r="0" b="1905"/>
            <wp:wrapTopAndBottom/>
            <wp:docPr id="2"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SOP Bamberg 3.11.2018 - 08.jpg"/>
                    <pic:cNvPicPr/>
                  </pic:nvPicPr>
                  <pic:blipFill rotWithShape="1">
                    <a:blip r:embed="rId6" cstate="print">
                      <a:extLst>
                        <a:ext uri="{28A0092B-C50C-407E-A947-70E740481C1C}">
                          <a14:useLocalDpi xmlns:a14="http://schemas.microsoft.com/office/drawing/2010/main" val="0"/>
                        </a:ext>
                      </a:extLst>
                    </a:blip>
                    <a:srcRect t="19593" b="9970"/>
                    <a:stretch/>
                  </pic:blipFill>
                  <pic:spPr bwMode="auto">
                    <a:xfrm>
                      <a:off x="0" y="0"/>
                      <a:ext cx="6233160" cy="270319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470F34" w:rsidRPr="003F60E4">
        <w:rPr>
          <w:lang w:val="de-DE"/>
        </w:rPr>
        <w:t>Heutzutage entwickelt das Orchester parallel beide seine</w:t>
      </w:r>
      <w:r w:rsidR="004B0D36" w:rsidRPr="003F60E4">
        <w:rPr>
          <w:lang w:val="de-DE"/>
        </w:rPr>
        <w:t>r</w:t>
      </w:r>
      <w:r w:rsidR="00470F34" w:rsidRPr="003F60E4">
        <w:rPr>
          <w:lang w:val="de-DE"/>
        </w:rPr>
        <w:t xml:space="preserve"> Wirkungsbereiche. </w:t>
      </w:r>
      <w:r w:rsidR="00BE10FB" w:rsidRPr="003F60E4">
        <w:rPr>
          <w:lang w:val="de-DE"/>
        </w:rPr>
        <w:t xml:space="preserve">Einerseits </w:t>
      </w:r>
      <w:r w:rsidR="00470F34" w:rsidRPr="003F60E4">
        <w:rPr>
          <w:lang w:val="de-DE"/>
        </w:rPr>
        <w:t xml:space="preserve">setzt </w:t>
      </w:r>
      <w:r w:rsidR="00BE10FB" w:rsidRPr="003F60E4">
        <w:rPr>
          <w:lang w:val="de-DE"/>
        </w:rPr>
        <w:t xml:space="preserve">es </w:t>
      </w:r>
      <w:r w:rsidR="00470F34" w:rsidRPr="003F60E4">
        <w:rPr>
          <w:lang w:val="de-DE"/>
        </w:rPr>
        <w:t xml:space="preserve">die langjährige Tradition (seit 1943) </w:t>
      </w:r>
      <w:r w:rsidR="00BE10FB" w:rsidRPr="003F60E4">
        <w:rPr>
          <w:lang w:val="de-DE"/>
        </w:rPr>
        <w:t xml:space="preserve">eines </w:t>
      </w:r>
      <w:r w:rsidR="004B0D36" w:rsidRPr="003F60E4">
        <w:rPr>
          <w:lang w:val="de-DE"/>
        </w:rPr>
        <w:t>Klang</w:t>
      </w:r>
      <w:r w:rsidR="00BE10FB" w:rsidRPr="003F60E4">
        <w:rPr>
          <w:lang w:val="de-DE"/>
        </w:rPr>
        <w:t>körpers fort, d</w:t>
      </w:r>
      <w:r w:rsidR="004B0D36" w:rsidRPr="003F60E4">
        <w:rPr>
          <w:lang w:val="de-DE"/>
        </w:rPr>
        <w:t>er</w:t>
      </w:r>
      <w:r w:rsidR="00BE10FB" w:rsidRPr="003F60E4">
        <w:rPr>
          <w:lang w:val="de-DE"/>
        </w:rPr>
        <w:t xml:space="preserve"> sich an internationalen Filmproduktionen beteiligt, andererseits funktioniert das Tschechische Symphonieorchester als</w:t>
      </w:r>
      <w:r w:rsidR="004B0D36" w:rsidRPr="003F60E4">
        <w:rPr>
          <w:lang w:val="de-DE"/>
        </w:rPr>
        <w:t xml:space="preserve"> </w:t>
      </w:r>
      <w:r w:rsidR="00BE10FB" w:rsidRPr="003F60E4">
        <w:rPr>
          <w:lang w:val="de-DE"/>
        </w:rPr>
        <w:t xml:space="preserve"> fester Klangkörper für Konzerte und Produktion</w:t>
      </w:r>
      <w:r w:rsidR="00F40AA7" w:rsidRPr="003F60E4">
        <w:rPr>
          <w:lang w:val="de-DE"/>
        </w:rPr>
        <w:t>en</w:t>
      </w:r>
      <w:r w:rsidR="00BE10FB" w:rsidRPr="003F60E4">
        <w:rPr>
          <w:lang w:val="de-DE"/>
        </w:rPr>
        <w:t xml:space="preserve"> in der klassischen Musik.</w:t>
      </w:r>
      <w:r w:rsidR="005408DC" w:rsidRPr="003F60E4">
        <w:rPr>
          <w:lang w:val="de-DE"/>
        </w:rPr>
        <w:t xml:space="preserve"> Die Orchesterbesetzung stü</w:t>
      </w:r>
      <w:r w:rsidR="004B0D36" w:rsidRPr="003F60E4">
        <w:rPr>
          <w:lang w:val="de-DE"/>
        </w:rPr>
        <w:t>t</w:t>
      </w:r>
      <w:r w:rsidR="005408DC" w:rsidRPr="003F60E4">
        <w:rPr>
          <w:lang w:val="de-DE"/>
        </w:rPr>
        <w:t>zt sich</w:t>
      </w:r>
      <w:r w:rsidR="004B0D36" w:rsidRPr="003F60E4">
        <w:rPr>
          <w:lang w:val="de-DE"/>
        </w:rPr>
        <w:t xml:space="preserve"> die</w:t>
      </w:r>
      <w:r w:rsidR="005408DC" w:rsidRPr="003F60E4">
        <w:rPr>
          <w:lang w:val="de-DE"/>
        </w:rPr>
        <w:t xml:space="preserve"> auf Mitgliederbasis des Prager Rundfunksinfonieorchesters, </w:t>
      </w:r>
      <w:r w:rsidR="00022761" w:rsidRPr="003F60E4">
        <w:rPr>
          <w:lang w:val="de-DE"/>
        </w:rPr>
        <w:t xml:space="preserve">in dessen Sitz – im Studio 1 des Tschechischen Rundfunks – das Orchester auch </w:t>
      </w:r>
      <w:r w:rsidR="00F40AA7" w:rsidRPr="003F60E4">
        <w:rPr>
          <w:lang w:val="de-DE"/>
        </w:rPr>
        <w:t>arbeitet und probt.</w:t>
      </w:r>
    </w:p>
    <w:p w14:paraId="1E5E8311" w14:textId="0148660F" w:rsidR="00F40AA7" w:rsidRPr="003F60E4" w:rsidRDefault="00F40AA7" w:rsidP="004226FC">
      <w:pPr>
        <w:spacing w:after="80"/>
        <w:jc w:val="both"/>
        <w:rPr>
          <w:lang w:val="de-DE"/>
        </w:rPr>
      </w:pPr>
      <w:r w:rsidRPr="003F60E4">
        <w:rPr>
          <w:lang w:val="de-DE"/>
        </w:rPr>
        <w:t xml:space="preserve">Zu </w:t>
      </w:r>
      <w:r w:rsidR="004B0D36" w:rsidRPr="003F60E4">
        <w:rPr>
          <w:lang w:val="de-DE"/>
        </w:rPr>
        <w:t xml:space="preserve">den </w:t>
      </w:r>
      <w:r w:rsidRPr="003F60E4">
        <w:rPr>
          <w:lang w:val="de-DE"/>
        </w:rPr>
        <w:t>Konzertaktivitäten der letzten Jahre gehör</w:t>
      </w:r>
      <w:r w:rsidR="00323411" w:rsidRPr="003F60E4">
        <w:rPr>
          <w:lang w:val="de-DE"/>
        </w:rPr>
        <w:t>t</w:t>
      </w:r>
      <w:r w:rsidRPr="003F60E4">
        <w:rPr>
          <w:lang w:val="de-DE"/>
        </w:rPr>
        <w:t xml:space="preserve"> </w:t>
      </w:r>
      <w:r w:rsidR="004B0D36" w:rsidRPr="003F60E4">
        <w:rPr>
          <w:lang w:val="de-DE"/>
        </w:rPr>
        <w:t xml:space="preserve">die </w:t>
      </w:r>
      <w:r w:rsidRPr="003F60E4">
        <w:rPr>
          <w:lang w:val="de-DE"/>
        </w:rPr>
        <w:t xml:space="preserve">Teilnahme des Tschechischen Symphonieorchesters an Mendelssohns Elias-Aufführung beim Eröffnungskonzert des Festivals Prager Herbst – unter der Leitung von Isaiah Jackson und mit Gesangsolisten der </w:t>
      </w:r>
      <w:proofErr w:type="gramStart"/>
      <w:r w:rsidRPr="003F60E4">
        <w:rPr>
          <w:lang w:val="de-DE"/>
        </w:rPr>
        <w:t>MET Oper</w:t>
      </w:r>
      <w:proofErr w:type="gramEnd"/>
      <w:r w:rsidRPr="003F60E4">
        <w:rPr>
          <w:lang w:val="de-DE"/>
        </w:rPr>
        <w:t xml:space="preserve"> in New York.</w:t>
      </w:r>
    </w:p>
    <w:p w14:paraId="2AD6DFCB" w14:textId="77777777" w:rsidR="00F40AA7" w:rsidRPr="003F60E4" w:rsidRDefault="00F40AA7" w:rsidP="004226FC">
      <w:pPr>
        <w:spacing w:after="80"/>
        <w:jc w:val="both"/>
        <w:rPr>
          <w:iCs/>
          <w:color w:val="000000" w:themeColor="text1"/>
          <w:lang w:val="de-DE"/>
        </w:rPr>
      </w:pPr>
      <w:r w:rsidRPr="003F60E4">
        <w:rPr>
          <w:lang w:val="de-DE"/>
        </w:rPr>
        <w:t>Unter der Leitung von Eugen Kohn begleitete das Orchester in Prag Plácido Domingo</w:t>
      </w:r>
      <w:r w:rsidR="004B0D36" w:rsidRPr="003F60E4">
        <w:rPr>
          <w:lang w:val="de-DE"/>
        </w:rPr>
        <w:t>,</w:t>
      </w:r>
      <w:r w:rsidR="0086548D" w:rsidRPr="003F60E4">
        <w:rPr>
          <w:lang w:val="de-DE"/>
        </w:rPr>
        <w:t xml:space="preserve"> und in Spanien führte es </w:t>
      </w:r>
      <w:r w:rsidR="0086548D" w:rsidRPr="003F60E4">
        <w:rPr>
          <w:color w:val="000000" w:themeColor="text1"/>
          <w:lang w:val="de-DE"/>
        </w:rPr>
        <w:t xml:space="preserve">Prokofjews </w:t>
      </w:r>
      <w:r w:rsidR="0086548D" w:rsidRPr="003F60E4">
        <w:rPr>
          <w:i/>
          <w:iCs/>
          <w:color w:val="000000" w:themeColor="text1"/>
          <w:lang w:val="de-DE"/>
        </w:rPr>
        <w:t xml:space="preserve">Iwan der Schreckliche </w:t>
      </w:r>
      <w:r w:rsidR="0086548D" w:rsidRPr="003F60E4">
        <w:rPr>
          <w:iCs/>
          <w:color w:val="000000" w:themeColor="text1"/>
          <w:lang w:val="de-DE"/>
        </w:rPr>
        <w:t xml:space="preserve">auf. </w:t>
      </w:r>
    </w:p>
    <w:p w14:paraId="08E8B293" w14:textId="77777777" w:rsidR="004226FC" w:rsidRDefault="004226FC" w:rsidP="004226FC">
      <w:pPr>
        <w:spacing w:after="80"/>
        <w:jc w:val="both"/>
        <w:rPr>
          <w:iCs/>
          <w:color w:val="000000" w:themeColor="text1"/>
          <w:lang w:val="de-DE"/>
        </w:rPr>
      </w:pPr>
      <w:r w:rsidRPr="004226FC">
        <w:rPr>
          <w:iCs/>
          <w:color w:val="000000" w:themeColor="text1"/>
          <w:lang w:val="de-DE"/>
        </w:rPr>
        <w:t>In Deutschland gastierte das Orchester in bedeutenden Konzertsälen wie der Gasteig Philharmonie München, der Liederhalle Stuttgart oder der Konzerthalle Bamberg. In der Konzertsaison 2018/19 präsentiert sich das TSP in 13 chinesischen Städten, darunter Peking und Shanghai. In den vergangenen Jahren gab es Konzerte mit Bernd Glemser und Maximilian Hornung sowie Auftritte im Rahmen des Hohenloher Kultursommers und in Tübingen. In der kommenden Saison 2024/25 wird das Orchester drei Konzerte mit Matthias Kirschenreit geben und im Rahmen der Tournee im Konzerthaus Dortmund debütieren.</w:t>
      </w:r>
    </w:p>
    <w:p w14:paraId="68779901" w14:textId="77777777" w:rsidR="000A6B66" w:rsidRDefault="000A6B66" w:rsidP="004226FC">
      <w:pPr>
        <w:spacing w:after="80"/>
        <w:jc w:val="both"/>
        <w:rPr>
          <w:iCs/>
          <w:color w:val="000000" w:themeColor="text1"/>
          <w:lang w:val="de-DE"/>
        </w:rPr>
      </w:pPr>
      <w:r w:rsidRPr="000A6B66">
        <w:rPr>
          <w:iCs/>
          <w:color w:val="000000" w:themeColor="text1"/>
          <w:lang w:val="de-DE"/>
        </w:rPr>
        <w:t xml:space="preserve">Das Tschechische Symphonieorchester Prag ist auch im Filmbereich erfolgreich. 2017 wurde der Film </w:t>
      </w:r>
      <w:proofErr w:type="spellStart"/>
      <w:r w:rsidRPr="000A6B66">
        <w:rPr>
          <w:iCs/>
          <w:color w:val="000000" w:themeColor="text1"/>
          <w:lang w:val="de-DE"/>
        </w:rPr>
        <w:t>Cairo</w:t>
      </w:r>
      <w:proofErr w:type="spellEnd"/>
      <w:r w:rsidRPr="000A6B66">
        <w:rPr>
          <w:iCs/>
          <w:color w:val="000000" w:themeColor="text1"/>
          <w:lang w:val="de-DE"/>
        </w:rPr>
        <w:t xml:space="preserve"> Declaration mit dem Goldenen Hahn (</w:t>
      </w:r>
      <w:proofErr w:type="spellStart"/>
      <w:r w:rsidRPr="000A6B66">
        <w:rPr>
          <w:iCs/>
          <w:color w:val="000000" w:themeColor="text1"/>
          <w:lang w:val="de-DE"/>
        </w:rPr>
        <w:t>the</w:t>
      </w:r>
      <w:proofErr w:type="spellEnd"/>
      <w:r w:rsidRPr="000A6B66">
        <w:rPr>
          <w:iCs/>
          <w:color w:val="000000" w:themeColor="text1"/>
          <w:lang w:val="de-DE"/>
        </w:rPr>
        <w:t xml:space="preserve"> Golden </w:t>
      </w:r>
      <w:proofErr w:type="spellStart"/>
      <w:r w:rsidRPr="000A6B66">
        <w:rPr>
          <w:iCs/>
          <w:color w:val="000000" w:themeColor="text1"/>
          <w:lang w:val="de-DE"/>
        </w:rPr>
        <w:t>Rooster</w:t>
      </w:r>
      <w:proofErr w:type="spellEnd"/>
      <w:r w:rsidRPr="000A6B66">
        <w:rPr>
          <w:iCs/>
          <w:color w:val="000000" w:themeColor="text1"/>
          <w:lang w:val="de-DE"/>
        </w:rPr>
        <w:t xml:space="preserve"> Award) für die beste Filmmusik des Jahres 2016 ausgezeichnet, in China das Äquivalent zum amerikanischen Oscar. Darüber hinaus hat das Orchester in den letzten Jahren Filmmusiken zu Lidice, </w:t>
      </w:r>
      <w:proofErr w:type="spellStart"/>
      <w:r w:rsidRPr="000A6B66">
        <w:rPr>
          <w:iCs/>
          <w:color w:val="000000" w:themeColor="text1"/>
          <w:lang w:val="de-DE"/>
        </w:rPr>
        <w:t>Aldabra</w:t>
      </w:r>
      <w:proofErr w:type="spellEnd"/>
      <w:r w:rsidRPr="000A6B66">
        <w:rPr>
          <w:iCs/>
          <w:color w:val="000000" w:themeColor="text1"/>
          <w:lang w:val="de-DE"/>
        </w:rPr>
        <w:t xml:space="preserve">, The Golden Cane Warrior, The Britts </w:t>
      </w:r>
      <w:proofErr w:type="spellStart"/>
      <w:r w:rsidRPr="000A6B66">
        <w:rPr>
          <w:iCs/>
          <w:color w:val="000000" w:themeColor="text1"/>
          <w:lang w:val="de-DE"/>
        </w:rPr>
        <w:t>are</w:t>
      </w:r>
      <w:proofErr w:type="spellEnd"/>
      <w:r w:rsidRPr="000A6B66">
        <w:rPr>
          <w:iCs/>
          <w:color w:val="000000" w:themeColor="text1"/>
          <w:lang w:val="de-DE"/>
        </w:rPr>
        <w:t xml:space="preserve"> </w:t>
      </w:r>
      <w:proofErr w:type="spellStart"/>
      <w:r w:rsidRPr="000A6B66">
        <w:rPr>
          <w:iCs/>
          <w:color w:val="000000" w:themeColor="text1"/>
          <w:lang w:val="de-DE"/>
        </w:rPr>
        <w:t>coming</w:t>
      </w:r>
      <w:proofErr w:type="spellEnd"/>
      <w:r w:rsidRPr="000A6B66">
        <w:rPr>
          <w:iCs/>
          <w:color w:val="000000" w:themeColor="text1"/>
          <w:lang w:val="de-DE"/>
        </w:rPr>
        <w:t xml:space="preserve"> und vielen anderen Filmen eingespielt.</w:t>
      </w:r>
    </w:p>
    <w:p w14:paraId="56151D99" w14:textId="77E006F3" w:rsidR="0049430B" w:rsidRPr="003F60E4" w:rsidRDefault="007E0722" w:rsidP="004226FC">
      <w:pPr>
        <w:spacing w:after="80"/>
        <w:jc w:val="both"/>
        <w:rPr>
          <w:rFonts w:eastAsia="Calibri" w:cs="Arial"/>
          <w:color w:val="000000" w:themeColor="text1"/>
          <w:lang w:val="de-DE"/>
        </w:rPr>
      </w:pPr>
      <w:r w:rsidRPr="003F60E4">
        <w:rPr>
          <w:rFonts w:eastAsia="Calibri" w:cs="Arial"/>
          <w:color w:val="000000" w:themeColor="text1"/>
          <w:lang w:val="de-DE"/>
        </w:rPr>
        <w:t xml:space="preserve">Die Verbundenheit des Orchesters mit Filmmusik und </w:t>
      </w:r>
      <w:r w:rsidR="004B0D36" w:rsidRPr="003F60E4">
        <w:rPr>
          <w:rFonts w:eastAsia="Calibri" w:cs="Arial"/>
          <w:color w:val="000000" w:themeColor="text1"/>
          <w:lang w:val="de-DE"/>
        </w:rPr>
        <w:t xml:space="preserve">das </w:t>
      </w:r>
      <w:r w:rsidRPr="003F60E4">
        <w:rPr>
          <w:rFonts w:eastAsia="Calibri" w:cs="Arial"/>
          <w:color w:val="000000" w:themeColor="text1"/>
          <w:lang w:val="de-DE"/>
        </w:rPr>
        <w:t xml:space="preserve">reiche diesbezügliche Notenarchiv ermöglicht </w:t>
      </w:r>
      <w:r w:rsidR="004B0D36" w:rsidRPr="003F60E4">
        <w:rPr>
          <w:rFonts w:eastAsia="Calibri" w:cs="Arial"/>
          <w:color w:val="000000" w:themeColor="text1"/>
          <w:lang w:val="de-DE"/>
        </w:rPr>
        <w:t xml:space="preserve">es </w:t>
      </w:r>
      <w:r w:rsidRPr="003F60E4">
        <w:rPr>
          <w:rFonts w:eastAsia="Calibri" w:cs="Arial"/>
          <w:color w:val="000000" w:themeColor="text1"/>
          <w:lang w:val="de-DE"/>
        </w:rPr>
        <w:t>dem Orchester auch</w:t>
      </w:r>
      <w:r w:rsidR="004B0D36" w:rsidRPr="003F60E4">
        <w:rPr>
          <w:rFonts w:eastAsia="Calibri" w:cs="Arial"/>
          <w:color w:val="000000" w:themeColor="text1"/>
          <w:lang w:val="de-DE"/>
        </w:rPr>
        <w:t>,</w:t>
      </w:r>
      <w:r w:rsidRPr="003F60E4">
        <w:rPr>
          <w:rFonts w:eastAsia="Calibri" w:cs="Arial"/>
          <w:color w:val="000000" w:themeColor="text1"/>
          <w:lang w:val="de-DE"/>
        </w:rPr>
        <w:t xml:space="preserve"> populäre Konzertprogramme mit Filmmusik zu gestalten</w:t>
      </w:r>
      <w:r w:rsidR="00BA5DDA" w:rsidRPr="003F60E4">
        <w:rPr>
          <w:rFonts w:eastAsia="Calibri" w:cs="Arial"/>
          <w:color w:val="000000" w:themeColor="text1"/>
          <w:lang w:val="de-DE"/>
        </w:rPr>
        <w:t xml:space="preserve">. So erklang in Darbietung des TSP auf verschiedensten Podien Musik zu den Filmen Harry Potter, Lion </w:t>
      </w:r>
      <w:proofErr w:type="spellStart"/>
      <w:r w:rsidR="00BA5DDA" w:rsidRPr="003F60E4">
        <w:rPr>
          <w:rFonts w:eastAsia="Calibri" w:cs="Arial"/>
          <w:color w:val="000000" w:themeColor="text1"/>
          <w:lang w:val="de-DE"/>
        </w:rPr>
        <w:t>the</w:t>
      </w:r>
      <w:proofErr w:type="spellEnd"/>
      <w:r w:rsidR="00BA5DDA" w:rsidRPr="003F60E4">
        <w:rPr>
          <w:rFonts w:eastAsia="Calibri" w:cs="Arial"/>
          <w:color w:val="000000" w:themeColor="text1"/>
          <w:lang w:val="de-DE"/>
        </w:rPr>
        <w:t xml:space="preserve"> King, James Bond, Out of </w:t>
      </w:r>
      <w:proofErr w:type="spellStart"/>
      <w:r w:rsidR="00BA5DDA" w:rsidRPr="003F60E4">
        <w:rPr>
          <w:rFonts w:eastAsia="Calibri" w:cs="Arial"/>
          <w:color w:val="000000" w:themeColor="text1"/>
          <w:lang w:val="de-DE"/>
        </w:rPr>
        <w:t>Africa</w:t>
      </w:r>
      <w:proofErr w:type="spellEnd"/>
      <w:r w:rsidR="00BA5DDA" w:rsidRPr="003F60E4">
        <w:rPr>
          <w:rFonts w:eastAsia="Calibri" w:cs="Arial"/>
          <w:color w:val="000000" w:themeColor="text1"/>
          <w:lang w:val="de-DE"/>
        </w:rPr>
        <w:t>, Star Wars und Game of Throne.</w:t>
      </w:r>
    </w:p>
    <w:p w14:paraId="29DC4167" w14:textId="5D9DD5D7" w:rsidR="003F60E4" w:rsidRPr="007E0722" w:rsidRDefault="00905DA7" w:rsidP="00905DA7">
      <w:pPr>
        <w:spacing w:after="80"/>
        <w:jc w:val="both"/>
        <w:rPr>
          <w:rFonts w:eastAsia="Calibri" w:cs="Arial"/>
          <w:noProof/>
          <w:color w:val="000000" w:themeColor="text1"/>
          <w:sz w:val="24"/>
          <w:lang w:val="de-DE"/>
        </w:rPr>
      </w:pPr>
      <w:r w:rsidRPr="00905DA7">
        <w:rPr>
          <w:rFonts w:eastAsia="Calibri" w:cs="Arial"/>
          <w:color w:val="000000" w:themeColor="text1"/>
          <w:lang w:val="de-DE"/>
        </w:rPr>
        <w:t>Die ständige Auseinandersetzung des Orchesters mit der Arbeit am Mikrofon in beiden Sphären (Film und Rundfunk) spiegelt sich in der Detailgenauigkeit und Präzision der einzelnen Orchestermitglieder wider. Auf dieser Welle schwingen auch die Konzertaufführungen.</w:t>
      </w:r>
    </w:p>
    <w:sectPr w:rsidR="003F60E4" w:rsidRPr="007E0722" w:rsidSect="001E6A21">
      <w:footerReference w:type="default" r:id="rId7"/>
      <w:pgSz w:w="11906" w:h="16838"/>
      <w:pgMar w:top="851" w:right="991" w:bottom="993" w:left="1134" w:header="708" w:footer="12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DF7949" w14:textId="77777777" w:rsidR="00813AC0" w:rsidRDefault="00813AC0" w:rsidP="001E6A21">
      <w:pPr>
        <w:spacing w:after="0" w:line="240" w:lineRule="auto"/>
      </w:pPr>
      <w:r>
        <w:separator/>
      </w:r>
    </w:p>
  </w:endnote>
  <w:endnote w:type="continuationSeparator" w:id="0">
    <w:p w14:paraId="09F084D3" w14:textId="77777777" w:rsidR="00813AC0" w:rsidRDefault="00813AC0" w:rsidP="001E6A2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 w:name="Arial">
    <w:panose1 w:val="020B0604020202020204"/>
    <w:charset w:val="EE"/>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F604958" w14:textId="4BB816E7" w:rsidR="001E6A21" w:rsidRDefault="001E6A21" w:rsidP="00561CB7">
    <w:pPr>
      <w:pStyle w:val="Zhlav"/>
      <w:pBdr>
        <w:top w:val="single" w:sz="6" w:space="0" w:color="5B9BD5" w:themeColor="accent1"/>
      </w:pBdr>
      <w:tabs>
        <w:tab w:val="left" w:pos="284"/>
        <w:tab w:val="center" w:pos="4890"/>
      </w:tabs>
      <w:spacing w:before="240"/>
      <w:jc w:val="center"/>
      <w:rPr>
        <w:color w:val="5B9BD5" w:themeColor="accent1"/>
      </w:rPr>
    </w:pPr>
    <w:r>
      <w:rPr>
        <w:color w:val="5B9BD5" w:themeColor="accent1"/>
      </w:rPr>
      <w:t>Management</w:t>
    </w:r>
    <w:r w:rsidR="00D4198A">
      <w:rPr>
        <w:color w:val="5B9BD5" w:themeColor="accent1"/>
      </w:rPr>
      <w:t xml:space="preserve">: Sonata </w:t>
    </w:r>
    <w:proofErr w:type="spellStart"/>
    <w:r w:rsidR="00D4198A">
      <w:rPr>
        <w:color w:val="5B9BD5" w:themeColor="accent1"/>
      </w:rPr>
      <w:t>Künstleragentur</w:t>
    </w:r>
    <w:proofErr w:type="spellEnd"/>
    <w:r w:rsidR="00561CB7">
      <w:rPr>
        <w:color w:val="5B9BD5" w:themeColor="accent1"/>
      </w:rPr>
      <w:t xml:space="preserve">, </w:t>
    </w:r>
    <w:proofErr w:type="spellStart"/>
    <w:r w:rsidR="00561CB7">
      <w:rPr>
        <w:color w:val="5B9BD5" w:themeColor="accent1"/>
      </w:rPr>
      <w:t>Herr</w:t>
    </w:r>
    <w:proofErr w:type="spellEnd"/>
    <w:r w:rsidR="00561CB7">
      <w:rPr>
        <w:color w:val="5B9BD5" w:themeColor="accent1"/>
      </w:rPr>
      <w:t xml:space="preserve"> David Stranofský, www.agsonata.cz</w:t>
    </w:r>
  </w:p>
  <w:p w14:paraId="7E4BBE64" w14:textId="77777777" w:rsidR="001E6A21" w:rsidRDefault="001E6A21">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CA1F94E" w14:textId="77777777" w:rsidR="00813AC0" w:rsidRDefault="00813AC0" w:rsidP="001E6A21">
      <w:pPr>
        <w:spacing w:after="0" w:line="240" w:lineRule="auto"/>
      </w:pPr>
      <w:r>
        <w:separator/>
      </w:r>
    </w:p>
  </w:footnote>
  <w:footnote w:type="continuationSeparator" w:id="0">
    <w:p w14:paraId="68D27433" w14:textId="77777777" w:rsidR="00813AC0" w:rsidRDefault="00813AC0" w:rsidP="001E6A21">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9430B"/>
    <w:rsid w:val="00022761"/>
    <w:rsid w:val="000375F1"/>
    <w:rsid w:val="000A6B66"/>
    <w:rsid w:val="000B4BD7"/>
    <w:rsid w:val="001E6A21"/>
    <w:rsid w:val="002201B5"/>
    <w:rsid w:val="00236081"/>
    <w:rsid w:val="0027768B"/>
    <w:rsid w:val="002B2429"/>
    <w:rsid w:val="002E1899"/>
    <w:rsid w:val="00300372"/>
    <w:rsid w:val="00323411"/>
    <w:rsid w:val="0034371C"/>
    <w:rsid w:val="003526DB"/>
    <w:rsid w:val="003616FB"/>
    <w:rsid w:val="00375D68"/>
    <w:rsid w:val="003C4902"/>
    <w:rsid w:val="003F60E4"/>
    <w:rsid w:val="004226FC"/>
    <w:rsid w:val="00445A62"/>
    <w:rsid w:val="00470F34"/>
    <w:rsid w:val="0049430B"/>
    <w:rsid w:val="004B0D36"/>
    <w:rsid w:val="004E0978"/>
    <w:rsid w:val="004F21EB"/>
    <w:rsid w:val="00511186"/>
    <w:rsid w:val="00533379"/>
    <w:rsid w:val="005408DC"/>
    <w:rsid w:val="005611A7"/>
    <w:rsid w:val="00561CB7"/>
    <w:rsid w:val="005B30A2"/>
    <w:rsid w:val="00617F49"/>
    <w:rsid w:val="0069483A"/>
    <w:rsid w:val="006C0FC1"/>
    <w:rsid w:val="00793642"/>
    <w:rsid w:val="007B0DB2"/>
    <w:rsid w:val="007E0722"/>
    <w:rsid w:val="00813AC0"/>
    <w:rsid w:val="0084046E"/>
    <w:rsid w:val="0086548D"/>
    <w:rsid w:val="008B27AD"/>
    <w:rsid w:val="008E08E1"/>
    <w:rsid w:val="00905DA7"/>
    <w:rsid w:val="00910443"/>
    <w:rsid w:val="00961A87"/>
    <w:rsid w:val="00AD3CB8"/>
    <w:rsid w:val="00AF6D4F"/>
    <w:rsid w:val="00B12457"/>
    <w:rsid w:val="00BA5DDA"/>
    <w:rsid w:val="00BE10FB"/>
    <w:rsid w:val="00C136B3"/>
    <w:rsid w:val="00C91862"/>
    <w:rsid w:val="00CE779F"/>
    <w:rsid w:val="00D03206"/>
    <w:rsid w:val="00D4198A"/>
    <w:rsid w:val="00DB1009"/>
    <w:rsid w:val="00DD591D"/>
    <w:rsid w:val="00DE026E"/>
    <w:rsid w:val="00E03580"/>
    <w:rsid w:val="00EC5361"/>
    <w:rsid w:val="00ED247F"/>
    <w:rsid w:val="00F0170E"/>
    <w:rsid w:val="00F40AA7"/>
    <w:rsid w:val="00F47300"/>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A89F18C"/>
  <w15:chartTrackingRefBased/>
  <w15:docId w15:val="{A80961EE-508C-42D0-90C2-F5C6C32F99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Normln"/>
    <w:next w:val="Normln"/>
    <w:link w:val="Nadpis1Char"/>
    <w:uiPriority w:val="9"/>
    <w:qFormat/>
    <w:rsid w:val="0084046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DS-centrovannadpis">
    <w:name w:val="DS - centrovaný nadpis"/>
    <w:basedOn w:val="Vrazncitt"/>
    <w:link w:val="DS-centrovannadpisChar"/>
    <w:qFormat/>
    <w:rsid w:val="00DB1009"/>
    <w:pPr>
      <w:spacing w:before="0" w:after="0"/>
      <w:ind w:left="567" w:right="624"/>
    </w:pPr>
    <w:rPr>
      <w:b/>
      <w:color w:val="266196"/>
      <w:sz w:val="28"/>
    </w:rPr>
  </w:style>
  <w:style w:type="character" w:customStyle="1" w:styleId="DS-centrovannadpisChar">
    <w:name w:val="DS - centrovaný nadpis Char"/>
    <w:basedOn w:val="VrazncittChar"/>
    <w:link w:val="DS-centrovannadpis"/>
    <w:rsid w:val="00DB1009"/>
    <w:rPr>
      <w:b/>
      <w:i/>
      <w:iCs/>
      <w:color w:val="266196"/>
      <w:sz w:val="28"/>
    </w:rPr>
  </w:style>
  <w:style w:type="paragraph" w:styleId="Vrazncitt">
    <w:name w:val="Intense Quote"/>
    <w:basedOn w:val="Normln"/>
    <w:next w:val="Normln"/>
    <w:link w:val="VrazncittChar"/>
    <w:uiPriority w:val="30"/>
    <w:qFormat/>
    <w:rsid w:val="00DB1009"/>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VrazncittChar">
    <w:name w:val="Výrazný citát Char"/>
    <w:basedOn w:val="Standardnpsmoodstavce"/>
    <w:link w:val="Vrazncitt"/>
    <w:uiPriority w:val="30"/>
    <w:rsid w:val="00DB1009"/>
    <w:rPr>
      <w:i/>
      <w:iCs/>
      <w:color w:val="5B9BD5" w:themeColor="accent1"/>
    </w:rPr>
  </w:style>
  <w:style w:type="character" w:customStyle="1" w:styleId="Nadpis1Char">
    <w:name w:val="Nadpis 1 Char"/>
    <w:basedOn w:val="Standardnpsmoodstavce"/>
    <w:link w:val="Nadpis1"/>
    <w:uiPriority w:val="9"/>
    <w:rsid w:val="0084046E"/>
    <w:rPr>
      <w:rFonts w:asciiTheme="majorHAnsi" w:eastAsiaTheme="majorEastAsia" w:hAnsiTheme="majorHAnsi" w:cstheme="majorBidi"/>
      <w:color w:val="2E74B5" w:themeColor="accent1" w:themeShade="BF"/>
      <w:sz w:val="32"/>
      <w:szCs w:val="32"/>
    </w:rPr>
  </w:style>
  <w:style w:type="paragraph" w:styleId="Textbubliny">
    <w:name w:val="Balloon Text"/>
    <w:basedOn w:val="Normln"/>
    <w:link w:val="TextbublinyChar"/>
    <w:uiPriority w:val="99"/>
    <w:semiHidden/>
    <w:unhideWhenUsed/>
    <w:rsid w:val="00961A87"/>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961A87"/>
    <w:rPr>
      <w:rFonts w:ascii="Segoe UI" w:hAnsi="Segoe UI" w:cs="Segoe UI"/>
      <w:sz w:val="18"/>
      <w:szCs w:val="18"/>
    </w:rPr>
  </w:style>
  <w:style w:type="paragraph" w:styleId="Zhlav">
    <w:name w:val="header"/>
    <w:basedOn w:val="Normln"/>
    <w:link w:val="ZhlavChar"/>
    <w:uiPriority w:val="99"/>
    <w:unhideWhenUsed/>
    <w:rsid w:val="001E6A21"/>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1E6A21"/>
  </w:style>
  <w:style w:type="paragraph" w:styleId="Zpat">
    <w:name w:val="footer"/>
    <w:basedOn w:val="Normln"/>
    <w:link w:val="ZpatChar"/>
    <w:uiPriority w:val="99"/>
    <w:unhideWhenUsed/>
    <w:rsid w:val="001E6A21"/>
    <w:pPr>
      <w:tabs>
        <w:tab w:val="center" w:pos="4536"/>
        <w:tab w:val="right" w:pos="9072"/>
      </w:tabs>
      <w:spacing w:after="0" w:line="240" w:lineRule="auto"/>
    </w:pPr>
  </w:style>
  <w:style w:type="character" w:customStyle="1" w:styleId="ZpatChar">
    <w:name w:val="Zápatí Char"/>
    <w:basedOn w:val="Standardnpsmoodstavce"/>
    <w:link w:val="Zpat"/>
    <w:uiPriority w:val="99"/>
    <w:rsid w:val="001E6A2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25</TotalTime>
  <Pages>1</Pages>
  <Words>409</Words>
  <Characters>2417</Characters>
  <Application>Microsoft Office Word</Application>
  <DocSecurity>0</DocSecurity>
  <Lines>20</Lines>
  <Paragraphs>5</Paragraphs>
  <ScaleCrop>false</ScaleCrop>
  <HeadingPairs>
    <vt:vector size="4" baseType="variant">
      <vt:variant>
        <vt:lpstr>Název</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Stranofský</dc:creator>
  <cp:keywords/>
  <dc:description/>
  <cp:lastModifiedBy>David Stranofský</cp:lastModifiedBy>
  <cp:revision>22</cp:revision>
  <dcterms:created xsi:type="dcterms:W3CDTF">2024-08-02T11:05:00Z</dcterms:created>
  <dcterms:modified xsi:type="dcterms:W3CDTF">2024-08-02T11:30:00Z</dcterms:modified>
</cp:coreProperties>
</file>