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642505" w14:textId="3073EF18" w:rsidR="002F328A" w:rsidRPr="00E0759C" w:rsidRDefault="002F328A" w:rsidP="00523F95">
      <w:pPr>
        <w:pStyle w:val="Nzev"/>
        <w:shd w:val="clear" w:color="auto" w:fill="2F5496" w:themeFill="accent5" w:themeFillShade="BF"/>
        <w:ind w:hanging="426"/>
        <w:rPr>
          <w:color w:val="FFFFFF" w:themeColor="background1"/>
          <w:sz w:val="48"/>
          <w:szCs w:val="48"/>
          <w:lang w:val="de-DE"/>
        </w:rPr>
      </w:pPr>
      <w:r w:rsidRPr="00E0759C">
        <w:rPr>
          <w:color w:val="FFFFFF" w:themeColor="background1"/>
          <w:sz w:val="48"/>
          <w:szCs w:val="48"/>
          <w:lang w:val="de-DE"/>
        </w:rPr>
        <w:t>Das Tschechische Nonett</w:t>
      </w:r>
    </w:p>
    <w:p w14:paraId="11181C1C" w14:textId="77777777" w:rsidR="004A4E83" w:rsidRPr="002F328A" w:rsidRDefault="004A4E83" w:rsidP="002F328A">
      <w:pPr>
        <w:ind w:hanging="284"/>
        <w:rPr>
          <w:rFonts w:cstheme="minorHAnsi"/>
          <w:b/>
          <w:bCs/>
          <w:sz w:val="20"/>
          <w:szCs w:val="20"/>
          <w:lang w:val="de-DE"/>
        </w:rPr>
      </w:pPr>
    </w:p>
    <w:p w14:paraId="0881FE50" w14:textId="23512E26" w:rsidR="008766FF" w:rsidRPr="008766FF" w:rsidRDefault="008766FF" w:rsidP="00E0759C">
      <w:pPr>
        <w:jc w:val="both"/>
        <w:rPr>
          <w:rFonts w:cstheme="minorHAnsi"/>
          <w:sz w:val="20"/>
          <w:szCs w:val="20"/>
          <w:lang w:val="de-DE"/>
        </w:rPr>
      </w:pPr>
      <w:r w:rsidRPr="008766FF">
        <w:rPr>
          <w:rFonts w:cstheme="minorHAnsi"/>
          <w:sz w:val="20"/>
          <w:szCs w:val="20"/>
          <w:lang w:val="de-DE"/>
        </w:rPr>
        <w:t xml:space="preserve">Das Tschechische Nonett ist eines der ältesten Kammerensembles der Welt. Es wurde im Jahr 1924 gegründet und entwickelte sich innerhalb kurzer Zeit zu einem bedeutenden Klangkörper mit einem klassischen Repertoire, das in vielerlei Hinsicht auch im Bereich der Neuen Musik wegweisend war. Das Tschechische Nonett hat durch seine Interpretationen und seine originelle Instrumentalbesetzung viele bekannte zeitgenössische Komponisten zu neuen Kompositionen inspiriert, darunter Prokofjew, </w:t>
      </w:r>
      <w:proofErr w:type="spellStart"/>
      <w:r w:rsidRPr="008766FF">
        <w:rPr>
          <w:rFonts w:cstheme="minorHAnsi"/>
          <w:sz w:val="20"/>
          <w:szCs w:val="20"/>
          <w:lang w:val="de-DE"/>
        </w:rPr>
        <w:t>Lutosławski</w:t>
      </w:r>
      <w:proofErr w:type="spellEnd"/>
      <w:r w:rsidRPr="008766FF">
        <w:rPr>
          <w:rFonts w:cstheme="minorHAnsi"/>
          <w:sz w:val="20"/>
          <w:szCs w:val="20"/>
          <w:lang w:val="de-DE"/>
        </w:rPr>
        <w:t>, Martinů und andere.</w:t>
      </w:r>
    </w:p>
    <w:p w14:paraId="7E05EED1" w14:textId="77777777" w:rsidR="008766FF" w:rsidRPr="008766FF" w:rsidRDefault="008766FF" w:rsidP="00E0759C">
      <w:pPr>
        <w:jc w:val="both"/>
        <w:rPr>
          <w:rFonts w:cstheme="minorHAnsi"/>
          <w:sz w:val="20"/>
          <w:szCs w:val="20"/>
          <w:lang w:val="de-DE"/>
        </w:rPr>
      </w:pPr>
      <w:r w:rsidRPr="008766FF">
        <w:rPr>
          <w:rFonts w:cstheme="minorHAnsi"/>
          <w:sz w:val="20"/>
          <w:szCs w:val="20"/>
          <w:lang w:val="de-DE"/>
        </w:rPr>
        <w:t>Die spezifische Instrumentalbesetzung (Violine, Viola, Violoncello, Kontrabass und Bläserquintett) bietet eine nahezu unerschöpfliche Skala an Farbkombinationen mit dem vollen Klang eines Kammerorchesters. Dadurch ist es möglich, Kompositionen vom Barock bis zur Gegenwart in das Repertoire aufzunehmen.</w:t>
      </w:r>
    </w:p>
    <w:p w14:paraId="44A7CB20" w14:textId="77777777" w:rsidR="008766FF" w:rsidRPr="008766FF" w:rsidRDefault="008766FF" w:rsidP="00E0759C">
      <w:pPr>
        <w:jc w:val="both"/>
        <w:rPr>
          <w:rFonts w:cstheme="minorHAnsi"/>
          <w:sz w:val="20"/>
          <w:szCs w:val="20"/>
          <w:lang w:val="de-DE"/>
        </w:rPr>
      </w:pPr>
      <w:r w:rsidRPr="008766FF">
        <w:rPr>
          <w:rFonts w:cstheme="minorHAnsi"/>
          <w:sz w:val="20"/>
          <w:szCs w:val="20"/>
          <w:lang w:val="de-DE"/>
        </w:rPr>
        <w:t xml:space="preserve">Das Tschechische Nonett trat bereits bei zahlreichen internationalen Musikfestivals auf: Salzburger Festspiele, Edinburgh International Festival, Montreux, Schleswig-Holstein Musik Festival, Rheingau Musik Festival, Festival La Folle </w:t>
      </w:r>
      <w:proofErr w:type="spellStart"/>
      <w:r w:rsidRPr="008766FF">
        <w:rPr>
          <w:rFonts w:cstheme="minorHAnsi"/>
          <w:sz w:val="20"/>
          <w:szCs w:val="20"/>
          <w:lang w:val="de-DE"/>
        </w:rPr>
        <w:t>journée</w:t>
      </w:r>
      <w:proofErr w:type="spellEnd"/>
      <w:r w:rsidRPr="008766FF">
        <w:rPr>
          <w:rFonts w:cstheme="minorHAnsi"/>
          <w:sz w:val="20"/>
          <w:szCs w:val="20"/>
          <w:lang w:val="de-DE"/>
        </w:rPr>
        <w:t xml:space="preserve"> de Nantes, Festival de Música de Canarias, Prager Frühling </w:t>
      </w:r>
      <w:proofErr w:type="gramStart"/>
      <w:r w:rsidRPr="008766FF">
        <w:rPr>
          <w:rFonts w:cstheme="minorHAnsi"/>
          <w:sz w:val="20"/>
          <w:szCs w:val="20"/>
          <w:lang w:val="de-DE"/>
        </w:rPr>
        <w:t>u.a..</w:t>
      </w:r>
      <w:proofErr w:type="gramEnd"/>
    </w:p>
    <w:p w14:paraId="7428668F" w14:textId="77777777" w:rsidR="008766FF" w:rsidRPr="008766FF" w:rsidRDefault="008766FF" w:rsidP="00E0759C">
      <w:pPr>
        <w:jc w:val="both"/>
        <w:rPr>
          <w:rFonts w:cstheme="minorHAnsi"/>
          <w:sz w:val="20"/>
          <w:szCs w:val="20"/>
          <w:lang w:val="de-DE"/>
        </w:rPr>
      </w:pPr>
      <w:r w:rsidRPr="008766FF">
        <w:rPr>
          <w:rFonts w:cstheme="minorHAnsi"/>
          <w:sz w:val="20"/>
          <w:szCs w:val="20"/>
          <w:lang w:val="de-DE"/>
        </w:rPr>
        <w:t xml:space="preserve">Es unternahm zahlreiche Konzerttourneen durch europäische Länder (Deutschland, Österreich, Großbritannien, Niederlande, Spanien, Italien, Frankreich), durch Länder Nord- und Südamerikas, Japan und Afrika und trat auf bedeutenden internationalen Konzertpodien auf: Wiener Musikverein, Montreux Auditorium </w:t>
      </w:r>
      <w:proofErr w:type="spellStart"/>
      <w:r w:rsidRPr="008766FF">
        <w:rPr>
          <w:rFonts w:cstheme="minorHAnsi"/>
          <w:sz w:val="20"/>
          <w:szCs w:val="20"/>
          <w:lang w:val="de-DE"/>
        </w:rPr>
        <w:t>Stravinski</w:t>
      </w:r>
      <w:proofErr w:type="spellEnd"/>
      <w:r w:rsidRPr="008766FF">
        <w:rPr>
          <w:rFonts w:cstheme="minorHAnsi"/>
          <w:sz w:val="20"/>
          <w:szCs w:val="20"/>
          <w:lang w:val="de-DE"/>
        </w:rPr>
        <w:t xml:space="preserve">, Münchener Herkulessaal, </w:t>
      </w:r>
      <w:proofErr w:type="spellStart"/>
      <w:r w:rsidRPr="008766FF">
        <w:rPr>
          <w:rFonts w:cstheme="minorHAnsi"/>
          <w:sz w:val="20"/>
          <w:szCs w:val="20"/>
          <w:lang w:val="de-DE"/>
        </w:rPr>
        <w:t>Auditorio</w:t>
      </w:r>
      <w:proofErr w:type="spellEnd"/>
      <w:r w:rsidRPr="008766FF">
        <w:rPr>
          <w:rFonts w:cstheme="minorHAnsi"/>
          <w:sz w:val="20"/>
          <w:szCs w:val="20"/>
          <w:lang w:val="de-DE"/>
        </w:rPr>
        <w:t xml:space="preserve"> de Zaragoza, Lyon Auditorium, Washington Library of </w:t>
      </w:r>
      <w:proofErr w:type="spellStart"/>
      <w:r w:rsidRPr="008766FF">
        <w:rPr>
          <w:rFonts w:cstheme="minorHAnsi"/>
          <w:sz w:val="20"/>
          <w:szCs w:val="20"/>
          <w:lang w:val="de-DE"/>
        </w:rPr>
        <w:t>Congress</w:t>
      </w:r>
      <w:proofErr w:type="spellEnd"/>
      <w:r w:rsidRPr="008766FF">
        <w:rPr>
          <w:rFonts w:cstheme="minorHAnsi"/>
          <w:sz w:val="20"/>
          <w:szCs w:val="20"/>
          <w:lang w:val="de-DE"/>
        </w:rPr>
        <w:t xml:space="preserve">, Playhouse Vancouver, Dvorak-Saal des Prager </w:t>
      </w:r>
      <w:proofErr w:type="spellStart"/>
      <w:r w:rsidRPr="008766FF">
        <w:rPr>
          <w:rFonts w:cstheme="minorHAnsi"/>
          <w:sz w:val="20"/>
          <w:szCs w:val="20"/>
          <w:lang w:val="de-DE"/>
        </w:rPr>
        <w:t>Rudolfinums</w:t>
      </w:r>
      <w:proofErr w:type="spellEnd"/>
      <w:r w:rsidRPr="008766FF">
        <w:rPr>
          <w:rFonts w:cstheme="minorHAnsi"/>
          <w:sz w:val="20"/>
          <w:szCs w:val="20"/>
          <w:lang w:val="de-DE"/>
        </w:rPr>
        <w:t xml:space="preserve">, etc. </w:t>
      </w:r>
    </w:p>
    <w:p w14:paraId="4CF37748" w14:textId="79B802D2" w:rsidR="008766FF" w:rsidRPr="008766FF" w:rsidRDefault="008766FF" w:rsidP="00E0759C">
      <w:pPr>
        <w:jc w:val="both"/>
        <w:rPr>
          <w:rFonts w:cstheme="minorHAnsi"/>
          <w:sz w:val="20"/>
          <w:szCs w:val="20"/>
          <w:lang w:val="de-DE"/>
        </w:rPr>
      </w:pPr>
      <w:r w:rsidRPr="008766FF">
        <w:rPr>
          <w:rFonts w:cstheme="minorHAnsi"/>
          <w:sz w:val="20"/>
          <w:szCs w:val="20"/>
          <w:lang w:val="de-DE"/>
        </w:rPr>
        <w:t xml:space="preserve">In den letzten Spielzeiten arbeitete das Nonett mit der hervorragenden Sopranistin Juliane Banse zusammen, mit der es Wagners </w:t>
      </w:r>
      <w:proofErr w:type="spellStart"/>
      <w:r w:rsidRPr="008766FF">
        <w:rPr>
          <w:rFonts w:cstheme="minorHAnsi"/>
          <w:sz w:val="20"/>
          <w:szCs w:val="20"/>
          <w:lang w:val="de-DE"/>
        </w:rPr>
        <w:t>Wesendeonck</w:t>
      </w:r>
      <w:proofErr w:type="spellEnd"/>
      <w:r w:rsidRPr="008766FF">
        <w:rPr>
          <w:rFonts w:cstheme="minorHAnsi"/>
          <w:sz w:val="20"/>
          <w:szCs w:val="20"/>
          <w:lang w:val="de-DE"/>
        </w:rPr>
        <w:t>-Lieder in einer erfolgreichen Bearbeitung für Nonett und Sopran von Tomáš Ille bei verschiedenen Festivals aufführte. (NDR-Aufnahme)</w:t>
      </w:r>
      <w:r w:rsidR="002F328A">
        <w:rPr>
          <w:rFonts w:cstheme="minorHAnsi"/>
          <w:sz w:val="20"/>
          <w:szCs w:val="20"/>
          <w:lang w:val="de-DE"/>
        </w:rPr>
        <w:t xml:space="preserve">. </w:t>
      </w:r>
    </w:p>
    <w:p w14:paraId="3333DE66" w14:textId="77777777" w:rsidR="008766FF" w:rsidRPr="008766FF" w:rsidRDefault="008766FF" w:rsidP="00E0759C">
      <w:pPr>
        <w:jc w:val="both"/>
        <w:rPr>
          <w:rFonts w:cstheme="minorHAnsi"/>
          <w:sz w:val="20"/>
          <w:szCs w:val="20"/>
          <w:lang w:val="de-DE"/>
        </w:rPr>
      </w:pPr>
      <w:r w:rsidRPr="008766FF">
        <w:rPr>
          <w:rFonts w:cstheme="minorHAnsi"/>
          <w:sz w:val="20"/>
          <w:szCs w:val="20"/>
          <w:lang w:val="de-DE"/>
        </w:rPr>
        <w:t xml:space="preserve">Die umfangreiche Diskographie des Tschechischen Nonetts umfasst 45 Langspielplatten und CDs der Firmen Supraphon, </w:t>
      </w:r>
      <w:proofErr w:type="spellStart"/>
      <w:r w:rsidRPr="008766FF">
        <w:rPr>
          <w:rFonts w:cstheme="minorHAnsi"/>
          <w:sz w:val="20"/>
          <w:szCs w:val="20"/>
          <w:lang w:val="de-DE"/>
        </w:rPr>
        <w:t>Panton</w:t>
      </w:r>
      <w:proofErr w:type="spellEnd"/>
      <w:r w:rsidRPr="008766FF">
        <w:rPr>
          <w:rFonts w:cstheme="minorHAnsi"/>
          <w:sz w:val="20"/>
          <w:szCs w:val="20"/>
          <w:lang w:val="de-DE"/>
        </w:rPr>
        <w:t xml:space="preserve"> und Harmonia Mundi. </w:t>
      </w:r>
    </w:p>
    <w:p w14:paraId="28CE5B19" w14:textId="1DA33A88" w:rsidR="00E0759C" w:rsidRDefault="008766FF" w:rsidP="00E0759C">
      <w:pPr>
        <w:jc w:val="both"/>
        <w:rPr>
          <w:rFonts w:cstheme="minorHAnsi"/>
          <w:sz w:val="20"/>
          <w:szCs w:val="20"/>
          <w:lang w:val="de-DE"/>
        </w:rPr>
      </w:pPr>
      <w:r w:rsidRPr="008766FF">
        <w:rPr>
          <w:rFonts w:cstheme="minorHAnsi"/>
          <w:sz w:val="20"/>
          <w:szCs w:val="20"/>
          <w:lang w:val="de-DE"/>
        </w:rPr>
        <w:t xml:space="preserve">Für die Aufnahmen für die französische Edition </w:t>
      </w:r>
      <w:proofErr w:type="spellStart"/>
      <w:r w:rsidRPr="008766FF">
        <w:rPr>
          <w:rFonts w:cstheme="minorHAnsi"/>
          <w:sz w:val="20"/>
          <w:szCs w:val="20"/>
          <w:lang w:val="de-DE"/>
        </w:rPr>
        <w:t>Praga</w:t>
      </w:r>
      <w:proofErr w:type="spellEnd"/>
      <w:r w:rsidRPr="008766FF">
        <w:rPr>
          <w:rFonts w:cstheme="minorHAnsi"/>
          <w:sz w:val="20"/>
          <w:szCs w:val="20"/>
          <w:lang w:val="de-DE"/>
        </w:rPr>
        <w:t xml:space="preserve"> </w:t>
      </w:r>
      <w:proofErr w:type="spellStart"/>
      <w:r w:rsidRPr="008766FF">
        <w:rPr>
          <w:rFonts w:cstheme="minorHAnsi"/>
          <w:sz w:val="20"/>
          <w:szCs w:val="20"/>
          <w:lang w:val="de-DE"/>
        </w:rPr>
        <w:t>Digitals</w:t>
      </w:r>
      <w:proofErr w:type="spellEnd"/>
      <w:r w:rsidRPr="008766FF">
        <w:rPr>
          <w:rFonts w:cstheme="minorHAnsi"/>
          <w:sz w:val="20"/>
          <w:szCs w:val="20"/>
          <w:lang w:val="de-DE"/>
        </w:rPr>
        <w:t xml:space="preserve"> mit dem internationalen Vertriebsnetz Harmonia Mundi, mit dem das Tschechische Nonett einen Exklusivvertrag abgeschlossen hat, erhielt das Ensemble eine Reihe bedeutender Preise. Die Aufnahme des Nonetts mit Werken von Bohuslav Martinů erhielt die höchste Auszeichnung der renommierten Rezensionszeitschrift </w:t>
      </w:r>
      <w:proofErr w:type="spellStart"/>
      <w:r w:rsidRPr="008766FF">
        <w:rPr>
          <w:rFonts w:cstheme="minorHAnsi"/>
          <w:sz w:val="20"/>
          <w:szCs w:val="20"/>
          <w:lang w:val="de-DE"/>
        </w:rPr>
        <w:t>Répértoire</w:t>
      </w:r>
      <w:proofErr w:type="spellEnd"/>
      <w:r w:rsidRPr="008766FF">
        <w:rPr>
          <w:rFonts w:cstheme="minorHAnsi"/>
          <w:sz w:val="20"/>
          <w:szCs w:val="20"/>
          <w:lang w:val="de-DE"/>
        </w:rPr>
        <w:t xml:space="preserve"> - den Prix 10 du </w:t>
      </w:r>
      <w:proofErr w:type="spellStart"/>
      <w:r w:rsidRPr="008766FF">
        <w:rPr>
          <w:rFonts w:cstheme="minorHAnsi"/>
          <w:sz w:val="20"/>
          <w:szCs w:val="20"/>
          <w:lang w:val="de-DE"/>
        </w:rPr>
        <w:t>Répértoire</w:t>
      </w:r>
      <w:proofErr w:type="spellEnd"/>
      <w:r w:rsidRPr="008766FF">
        <w:rPr>
          <w:rFonts w:cstheme="minorHAnsi"/>
          <w:sz w:val="20"/>
          <w:szCs w:val="20"/>
          <w:lang w:val="de-DE"/>
        </w:rPr>
        <w:t xml:space="preserve">, und die Einspielung der Kompositionen von Beethoven wurde mit dem Preis </w:t>
      </w:r>
      <w:proofErr w:type="spellStart"/>
      <w:r w:rsidRPr="008766FF">
        <w:rPr>
          <w:rFonts w:cstheme="minorHAnsi"/>
          <w:sz w:val="20"/>
          <w:szCs w:val="20"/>
          <w:lang w:val="de-DE"/>
        </w:rPr>
        <w:t>Choc</w:t>
      </w:r>
      <w:proofErr w:type="spellEnd"/>
      <w:r w:rsidRPr="008766FF">
        <w:rPr>
          <w:rFonts w:cstheme="minorHAnsi"/>
          <w:sz w:val="20"/>
          <w:szCs w:val="20"/>
          <w:lang w:val="de-DE"/>
        </w:rPr>
        <w:t xml:space="preserve"> du Monde de la Musique ausgezeichnet. Für </w:t>
      </w:r>
      <w:proofErr w:type="spellStart"/>
      <w:r w:rsidRPr="008766FF">
        <w:rPr>
          <w:rFonts w:cstheme="minorHAnsi"/>
          <w:sz w:val="20"/>
          <w:szCs w:val="20"/>
          <w:lang w:val="de-DE"/>
        </w:rPr>
        <w:t>Praga</w:t>
      </w:r>
      <w:proofErr w:type="spellEnd"/>
      <w:r w:rsidRPr="008766FF">
        <w:rPr>
          <w:rFonts w:cstheme="minorHAnsi"/>
          <w:sz w:val="20"/>
          <w:szCs w:val="20"/>
          <w:lang w:val="de-DE"/>
        </w:rPr>
        <w:t xml:space="preserve"> </w:t>
      </w:r>
      <w:proofErr w:type="spellStart"/>
      <w:r w:rsidRPr="008766FF">
        <w:rPr>
          <w:rFonts w:cstheme="minorHAnsi"/>
          <w:sz w:val="20"/>
          <w:szCs w:val="20"/>
          <w:lang w:val="de-DE"/>
        </w:rPr>
        <w:t>Digitals</w:t>
      </w:r>
      <w:proofErr w:type="spellEnd"/>
      <w:r w:rsidRPr="008766FF">
        <w:rPr>
          <w:rFonts w:cstheme="minorHAnsi"/>
          <w:sz w:val="20"/>
          <w:szCs w:val="20"/>
          <w:lang w:val="de-DE"/>
        </w:rPr>
        <w:t xml:space="preserve"> hat das Tschechische Nonett auch Kompositionen von Brahms, Mozart, Roussel, Prokofjew, Spohr, Dvorak und anderen aufgenommen.</w:t>
      </w:r>
    </w:p>
    <w:p w14:paraId="319BCC13" w14:textId="77777777" w:rsidR="007D339C" w:rsidRPr="007D339C" w:rsidRDefault="007D339C" w:rsidP="00E0759C">
      <w:pPr>
        <w:jc w:val="both"/>
        <w:rPr>
          <w:rFonts w:cstheme="minorHAnsi"/>
          <w:sz w:val="8"/>
          <w:szCs w:val="8"/>
          <w:lang w:val="de-DE"/>
        </w:rPr>
      </w:pPr>
    </w:p>
    <w:p w14:paraId="5562B013" w14:textId="41BA4A0B" w:rsidR="003B1501" w:rsidRDefault="001139C2" w:rsidP="004C54A7">
      <w:pPr>
        <w:jc w:val="center"/>
        <w:rPr>
          <w:rFonts w:cstheme="minorHAnsi"/>
          <w:sz w:val="20"/>
          <w:szCs w:val="20"/>
          <w:lang w:val="de-DE"/>
        </w:rPr>
      </w:pPr>
      <w:hyperlink r:id="rId6" w:history="1">
        <w:r w:rsidR="001162E4" w:rsidRPr="001139C2">
          <w:rPr>
            <w:rStyle w:val="Hypertextovodkaz"/>
            <w:rFonts w:cstheme="minorHAnsi"/>
            <w:sz w:val="20"/>
            <w:szCs w:val="20"/>
            <w:lang w:val="de-DE"/>
          </w:rPr>
          <w:t>Fotos zum Download</w:t>
        </w:r>
        <w:r w:rsidR="00A60074" w:rsidRPr="001139C2">
          <w:rPr>
            <w:rStyle w:val="Hypertextovodkaz"/>
            <w:rFonts w:cstheme="minorHAnsi"/>
            <w:sz w:val="20"/>
            <w:szCs w:val="20"/>
            <w:lang w:val="de-DE"/>
          </w:rPr>
          <w:t xml:space="preserve"> </w:t>
        </w:r>
        <w:r w:rsidR="00E43F5A" w:rsidRPr="001139C2">
          <w:rPr>
            <w:rStyle w:val="Hypertextovodkaz"/>
            <w:rFonts w:cstheme="minorHAnsi"/>
            <w:sz w:val="20"/>
            <w:szCs w:val="20"/>
            <w:lang w:val="de-DE"/>
          </w:rPr>
          <w:t xml:space="preserve">2024 </w:t>
        </w:r>
        <w:r w:rsidR="00A60074" w:rsidRPr="001139C2">
          <w:rPr>
            <w:rStyle w:val="Hypertextovodkaz"/>
            <w:rFonts w:cstheme="minorHAnsi"/>
            <w:sz w:val="20"/>
            <w:szCs w:val="20"/>
            <w:lang w:val="de-DE"/>
          </w:rPr>
          <w:t xml:space="preserve">© Ivan </w:t>
        </w:r>
        <w:proofErr w:type="spellStart"/>
        <w:r w:rsidR="00A60074" w:rsidRPr="001139C2">
          <w:rPr>
            <w:rStyle w:val="Hypertextovodkaz"/>
            <w:rFonts w:cstheme="minorHAnsi"/>
            <w:sz w:val="20"/>
            <w:szCs w:val="20"/>
            <w:lang w:val="de-DE"/>
          </w:rPr>
          <w:t>Malý</w:t>
        </w:r>
        <w:proofErr w:type="spellEnd"/>
        <w:r w:rsidR="001162E4" w:rsidRPr="001139C2">
          <w:rPr>
            <w:rStyle w:val="Hypertextovodkaz"/>
            <w:rFonts w:cstheme="minorHAnsi"/>
            <w:sz w:val="20"/>
            <w:szCs w:val="20"/>
            <w:lang w:val="de-DE"/>
          </w:rPr>
          <w:t xml:space="preserve"> </w:t>
        </w:r>
      </w:hyperlink>
      <w:r w:rsidR="0075492E">
        <w:rPr>
          <w:rFonts w:cstheme="minorHAnsi"/>
          <w:sz w:val="20"/>
          <w:szCs w:val="20"/>
          <w:lang w:val="de-DE"/>
        </w:rPr>
        <w:t xml:space="preserve"> </w:t>
      </w:r>
    </w:p>
    <w:p w14:paraId="622B53AE" w14:textId="501948E6" w:rsidR="00D125FA" w:rsidRDefault="00D125FA" w:rsidP="00F55AA2">
      <w:pPr>
        <w:rPr>
          <w:rFonts w:cstheme="minorHAnsi"/>
          <w:sz w:val="20"/>
          <w:szCs w:val="20"/>
          <w:lang w:val="de-DE"/>
        </w:rPr>
      </w:pPr>
    </w:p>
    <w:p w14:paraId="51298BF9" w14:textId="03A03AF1" w:rsidR="004A4E83" w:rsidRPr="00FA62F5" w:rsidRDefault="003B2E87" w:rsidP="00FA62F5">
      <w:pPr>
        <w:ind w:hanging="426"/>
        <w:rPr>
          <w:rFonts w:cstheme="minorHAnsi"/>
          <w:sz w:val="20"/>
          <w:szCs w:val="20"/>
          <w:lang w:val="de-DE"/>
        </w:rPr>
      </w:pPr>
      <w:r w:rsidRPr="00FA62F5">
        <w:rPr>
          <w:rFonts w:cstheme="minorHAnsi"/>
          <w:sz w:val="20"/>
          <w:szCs w:val="20"/>
          <w:lang w:val="de-DE"/>
        </w:rPr>
        <w:t>Besetzung:</w:t>
      </w:r>
      <w:r w:rsidR="00FF0C2D">
        <w:rPr>
          <w:rFonts w:cstheme="minorHAnsi"/>
          <w:sz w:val="20"/>
          <w:szCs w:val="20"/>
          <w:lang w:val="de-DE"/>
        </w:rPr>
        <w:t xml:space="preserve">    P</w:t>
      </w:r>
      <w:r w:rsidR="005321FF">
        <w:rPr>
          <w:rFonts w:cstheme="minorHAnsi"/>
          <w:sz w:val="20"/>
          <w:szCs w:val="20"/>
          <w:lang w:val="de-DE"/>
        </w:rPr>
        <w:t xml:space="preserve">rofil der Musiker – </w:t>
      </w:r>
      <w:hyperlink r:id="rId7" w:history="1">
        <w:r w:rsidR="005321FF" w:rsidRPr="00707F35">
          <w:rPr>
            <w:rStyle w:val="Hypertextovodkaz"/>
            <w:rFonts w:cstheme="minorHAnsi"/>
            <w:sz w:val="20"/>
            <w:szCs w:val="20"/>
            <w:lang w:val="de-DE"/>
          </w:rPr>
          <w:t>Download hier</w:t>
        </w:r>
      </w:hyperlink>
      <w:r w:rsidR="005321FF">
        <w:rPr>
          <w:rFonts w:cstheme="minorHAnsi"/>
          <w:sz w:val="20"/>
          <w:szCs w:val="20"/>
          <w:lang w:val="de-DE"/>
        </w:rPr>
        <w:t xml:space="preserve"> </w:t>
      </w:r>
    </w:p>
    <w:p w14:paraId="6EBD6E14" w14:textId="5D68A9FC" w:rsidR="00FA62F5" w:rsidRPr="00FA62F5" w:rsidRDefault="00FA62F5" w:rsidP="00FA62F5">
      <w:pPr>
        <w:pStyle w:val="Bezmezer"/>
        <w:rPr>
          <w:sz w:val="20"/>
          <w:szCs w:val="20"/>
          <w:lang w:val="de-DE" w:eastAsia="de-DE"/>
        </w:rPr>
        <w:sectPr w:rsidR="00FA62F5" w:rsidRPr="00FA62F5" w:rsidSect="00274BD3">
          <w:footerReference w:type="default" r:id="rId8"/>
          <w:pgSz w:w="11906" w:h="16838"/>
          <w:pgMar w:top="1135" w:right="1417" w:bottom="1985" w:left="1417" w:header="708" w:footer="279" w:gutter="0"/>
          <w:cols w:space="708"/>
          <w:docGrid w:linePitch="360"/>
        </w:sectPr>
      </w:pPr>
    </w:p>
    <w:p w14:paraId="0DC586F1" w14:textId="7BF7F4FB" w:rsidR="00FA62F5" w:rsidRPr="00FA62F5" w:rsidRDefault="007D339C" w:rsidP="00FA62F5">
      <w:pPr>
        <w:pStyle w:val="Bezmezer"/>
        <w:rPr>
          <w:sz w:val="20"/>
          <w:szCs w:val="20"/>
          <w:lang w:val="de-DE"/>
        </w:rPr>
      </w:pPr>
      <w:r>
        <w:rPr>
          <w:noProof/>
        </w:rPr>
        <w:drawing>
          <wp:anchor distT="0" distB="0" distL="114300" distR="114300" simplePos="0" relativeHeight="251658240" behindDoc="1" locked="0" layoutInCell="1" allowOverlap="1" wp14:anchorId="46450E78" wp14:editId="192F7FEE">
            <wp:simplePos x="0" y="0"/>
            <wp:positionH relativeFrom="column">
              <wp:posOffset>1915160</wp:posOffset>
            </wp:positionH>
            <wp:positionV relativeFrom="page">
              <wp:posOffset>7832237</wp:posOffset>
            </wp:positionV>
            <wp:extent cx="878840" cy="439420"/>
            <wp:effectExtent l="0" t="0" r="0" b="0"/>
            <wp:wrapSquare wrapText="bothSides"/>
            <wp:docPr id="509284270" name="Obrázek 2" descr="Spotify logo">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284270" name="Obrázek 2" descr="Spotify logo">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78840" cy="439420"/>
                    </a:xfrm>
                    <a:prstGeom prst="rect">
                      <a:avLst/>
                    </a:prstGeom>
                    <a:noFill/>
                    <a:ln>
                      <a:noFill/>
                    </a:ln>
                  </pic:spPr>
                </pic:pic>
              </a:graphicData>
            </a:graphic>
          </wp:anchor>
        </w:drawing>
      </w:r>
      <w:r w:rsidR="00FA62F5" w:rsidRPr="00FA62F5">
        <w:rPr>
          <w:sz w:val="20"/>
          <w:szCs w:val="20"/>
          <w:lang w:val="de-DE" w:eastAsia="de-DE"/>
        </w:rPr>
        <w:t xml:space="preserve">Romana </w:t>
      </w:r>
      <w:proofErr w:type="spellStart"/>
      <w:r w:rsidR="00FA62F5" w:rsidRPr="00FA62F5">
        <w:rPr>
          <w:sz w:val="20"/>
          <w:szCs w:val="20"/>
          <w:lang w:val="de-DE" w:eastAsia="de-DE"/>
        </w:rPr>
        <w:t>Zieglerová</w:t>
      </w:r>
      <w:proofErr w:type="spellEnd"/>
      <w:r w:rsidR="00FA62F5" w:rsidRPr="00FA62F5">
        <w:rPr>
          <w:sz w:val="20"/>
          <w:szCs w:val="20"/>
          <w:lang w:val="de-DE" w:eastAsia="de-DE"/>
        </w:rPr>
        <w:t xml:space="preserve"> - Violine</w:t>
      </w:r>
    </w:p>
    <w:p w14:paraId="6DD69534" w14:textId="65C8B7F4" w:rsidR="00FA62F5" w:rsidRPr="00FA62F5" w:rsidRDefault="00FA62F5" w:rsidP="00FA62F5">
      <w:pPr>
        <w:pStyle w:val="Bezmezer"/>
        <w:rPr>
          <w:sz w:val="20"/>
          <w:szCs w:val="20"/>
          <w:lang w:val="de-DE"/>
        </w:rPr>
      </w:pPr>
      <w:r w:rsidRPr="00FA62F5">
        <w:rPr>
          <w:sz w:val="20"/>
          <w:szCs w:val="20"/>
          <w:lang w:val="de-DE" w:eastAsia="de-DE"/>
        </w:rPr>
        <w:t xml:space="preserve">Ondřej </w:t>
      </w:r>
      <w:proofErr w:type="spellStart"/>
      <w:r w:rsidRPr="00FA62F5">
        <w:rPr>
          <w:sz w:val="20"/>
          <w:szCs w:val="20"/>
          <w:lang w:val="de-DE" w:eastAsia="de-DE"/>
        </w:rPr>
        <w:t>Martinovský</w:t>
      </w:r>
      <w:proofErr w:type="spellEnd"/>
      <w:r w:rsidRPr="00FA62F5">
        <w:rPr>
          <w:sz w:val="20"/>
          <w:szCs w:val="20"/>
          <w:lang w:val="de-DE" w:eastAsia="de-DE"/>
        </w:rPr>
        <w:t xml:space="preserve"> </w:t>
      </w:r>
      <w:r w:rsidR="00167F82">
        <w:rPr>
          <w:sz w:val="20"/>
          <w:szCs w:val="20"/>
          <w:lang w:val="de-DE" w:eastAsia="de-DE"/>
        </w:rPr>
        <w:t>–</w:t>
      </w:r>
      <w:r w:rsidRPr="00FA62F5">
        <w:rPr>
          <w:sz w:val="20"/>
          <w:szCs w:val="20"/>
          <w:lang w:val="de-DE" w:eastAsia="de-DE"/>
        </w:rPr>
        <w:t xml:space="preserve"> Bratsche</w:t>
      </w:r>
      <w:r w:rsidR="00167F82">
        <w:rPr>
          <w:sz w:val="20"/>
          <w:szCs w:val="20"/>
          <w:lang w:val="de-DE" w:eastAsia="de-DE"/>
        </w:rPr>
        <w:t xml:space="preserve"> </w:t>
      </w:r>
    </w:p>
    <w:p w14:paraId="5C26DAEF" w14:textId="77777777" w:rsidR="00FA62F5" w:rsidRPr="00FA62F5" w:rsidRDefault="00FA62F5" w:rsidP="00FA62F5">
      <w:pPr>
        <w:pStyle w:val="Bezmezer"/>
        <w:rPr>
          <w:sz w:val="20"/>
          <w:szCs w:val="20"/>
          <w:lang w:val="de-DE"/>
        </w:rPr>
      </w:pPr>
      <w:r w:rsidRPr="00FA62F5">
        <w:rPr>
          <w:sz w:val="20"/>
          <w:szCs w:val="20"/>
          <w:lang w:val="de-DE" w:eastAsia="de-DE"/>
        </w:rPr>
        <w:t xml:space="preserve">Simona </w:t>
      </w:r>
      <w:proofErr w:type="spellStart"/>
      <w:r w:rsidRPr="00FA62F5">
        <w:rPr>
          <w:sz w:val="20"/>
          <w:szCs w:val="20"/>
          <w:lang w:val="de-DE" w:eastAsia="de-DE"/>
        </w:rPr>
        <w:t>Hečova</w:t>
      </w:r>
      <w:proofErr w:type="spellEnd"/>
      <w:r w:rsidRPr="00FA62F5">
        <w:rPr>
          <w:sz w:val="20"/>
          <w:szCs w:val="20"/>
          <w:lang w:val="de-DE" w:eastAsia="de-DE"/>
        </w:rPr>
        <w:t xml:space="preserve"> - Violoncello</w:t>
      </w:r>
    </w:p>
    <w:p w14:paraId="59A9E428" w14:textId="77777777" w:rsidR="00FA62F5" w:rsidRPr="00FA62F5" w:rsidRDefault="00FA62F5" w:rsidP="00FA62F5">
      <w:pPr>
        <w:pStyle w:val="Bezmezer"/>
        <w:rPr>
          <w:sz w:val="20"/>
          <w:szCs w:val="20"/>
          <w:lang w:val="de-DE"/>
        </w:rPr>
      </w:pPr>
      <w:r w:rsidRPr="00FA62F5">
        <w:rPr>
          <w:sz w:val="20"/>
          <w:szCs w:val="20"/>
          <w:lang w:val="de-DE" w:eastAsia="de-DE"/>
        </w:rPr>
        <w:t xml:space="preserve">David </w:t>
      </w:r>
      <w:proofErr w:type="spellStart"/>
      <w:r w:rsidRPr="00FA62F5">
        <w:rPr>
          <w:sz w:val="20"/>
          <w:szCs w:val="20"/>
          <w:lang w:val="de-DE" w:eastAsia="de-DE"/>
        </w:rPr>
        <w:t>Pavelka</w:t>
      </w:r>
      <w:proofErr w:type="spellEnd"/>
      <w:r w:rsidRPr="00FA62F5">
        <w:rPr>
          <w:sz w:val="20"/>
          <w:szCs w:val="20"/>
          <w:lang w:val="de-DE" w:eastAsia="de-DE"/>
        </w:rPr>
        <w:t xml:space="preserve"> - Kontrabass</w:t>
      </w:r>
    </w:p>
    <w:p w14:paraId="3EA8B590" w14:textId="77777777" w:rsidR="00681F9B" w:rsidRDefault="00681F9B" w:rsidP="00FA62F5">
      <w:pPr>
        <w:pStyle w:val="Bezmezer"/>
        <w:rPr>
          <w:sz w:val="20"/>
          <w:szCs w:val="20"/>
          <w:lang w:val="de-DE" w:eastAsia="de-DE"/>
        </w:rPr>
      </w:pPr>
    </w:p>
    <w:p w14:paraId="65A2AA7F" w14:textId="3E68B8AB" w:rsidR="00FA62F5" w:rsidRPr="00FA62F5" w:rsidRDefault="00FA62F5" w:rsidP="00FA62F5">
      <w:pPr>
        <w:pStyle w:val="Bezmezer"/>
        <w:rPr>
          <w:sz w:val="20"/>
          <w:szCs w:val="20"/>
          <w:lang w:val="de-DE"/>
        </w:rPr>
      </w:pPr>
      <w:r w:rsidRPr="00FA62F5">
        <w:rPr>
          <w:sz w:val="20"/>
          <w:szCs w:val="20"/>
          <w:lang w:val="de-DE" w:eastAsia="de-DE"/>
        </w:rPr>
        <w:t xml:space="preserve">Jiri </w:t>
      </w:r>
      <w:proofErr w:type="spellStart"/>
      <w:r w:rsidRPr="00FA62F5">
        <w:rPr>
          <w:sz w:val="20"/>
          <w:szCs w:val="20"/>
          <w:lang w:val="de-DE" w:eastAsia="de-DE"/>
        </w:rPr>
        <w:t>Skuhra</w:t>
      </w:r>
      <w:proofErr w:type="spellEnd"/>
      <w:r w:rsidRPr="00FA62F5">
        <w:rPr>
          <w:sz w:val="20"/>
          <w:szCs w:val="20"/>
          <w:lang w:val="de-DE" w:eastAsia="de-DE"/>
        </w:rPr>
        <w:t xml:space="preserve"> - Flöte</w:t>
      </w:r>
    </w:p>
    <w:p w14:paraId="2C73AD6B" w14:textId="77777777" w:rsidR="00FA62F5" w:rsidRPr="00FA62F5" w:rsidRDefault="00FA62F5" w:rsidP="00FA62F5">
      <w:pPr>
        <w:pStyle w:val="Bezmezer"/>
        <w:rPr>
          <w:sz w:val="20"/>
          <w:szCs w:val="20"/>
          <w:lang w:val="de-DE"/>
        </w:rPr>
      </w:pPr>
      <w:r w:rsidRPr="00FA62F5">
        <w:rPr>
          <w:sz w:val="20"/>
          <w:szCs w:val="20"/>
          <w:lang w:val="de-DE" w:eastAsia="de-DE"/>
        </w:rPr>
        <w:t xml:space="preserve">Vladislav </w:t>
      </w:r>
      <w:proofErr w:type="spellStart"/>
      <w:r w:rsidRPr="00FA62F5">
        <w:rPr>
          <w:sz w:val="20"/>
          <w:szCs w:val="20"/>
          <w:lang w:val="de-DE" w:eastAsia="de-DE"/>
        </w:rPr>
        <w:t>Borovka</w:t>
      </w:r>
      <w:proofErr w:type="spellEnd"/>
      <w:r w:rsidRPr="00FA62F5">
        <w:rPr>
          <w:sz w:val="20"/>
          <w:szCs w:val="20"/>
          <w:lang w:val="de-DE" w:eastAsia="de-DE"/>
        </w:rPr>
        <w:t xml:space="preserve"> - Oboe</w:t>
      </w:r>
    </w:p>
    <w:p w14:paraId="6CD0AF32" w14:textId="39BC466B" w:rsidR="00FA62F5" w:rsidRPr="00FA62F5" w:rsidRDefault="00FA62F5" w:rsidP="00FA62F5">
      <w:pPr>
        <w:pStyle w:val="Bezmezer"/>
        <w:rPr>
          <w:sz w:val="20"/>
          <w:szCs w:val="20"/>
          <w:lang w:val="de-DE"/>
        </w:rPr>
      </w:pPr>
      <w:r w:rsidRPr="00FA62F5">
        <w:rPr>
          <w:sz w:val="20"/>
          <w:szCs w:val="20"/>
          <w:lang w:val="de-DE" w:eastAsia="de-DE"/>
        </w:rPr>
        <w:t xml:space="preserve">Aleš </w:t>
      </w:r>
      <w:proofErr w:type="spellStart"/>
      <w:r w:rsidRPr="00FA62F5">
        <w:rPr>
          <w:sz w:val="20"/>
          <w:szCs w:val="20"/>
          <w:lang w:val="de-DE" w:eastAsia="de-DE"/>
        </w:rPr>
        <w:t>Hustoles</w:t>
      </w:r>
      <w:proofErr w:type="spellEnd"/>
      <w:r w:rsidRPr="00FA62F5">
        <w:rPr>
          <w:sz w:val="20"/>
          <w:szCs w:val="20"/>
          <w:lang w:val="de-DE" w:eastAsia="de-DE"/>
        </w:rPr>
        <w:t xml:space="preserve"> - Klarinette</w:t>
      </w:r>
    </w:p>
    <w:p w14:paraId="1CDDFC64" w14:textId="77777777" w:rsidR="00FA62F5" w:rsidRPr="00FA62F5" w:rsidRDefault="00FA62F5" w:rsidP="00FA62F5">
      <w:pPr>
        <w:pStyle w:val="Bezmezer"/>
        <w:rPr>
          <w:sz w:val="20"/>
          <w:szCs w:val="20"/>
          <w:lang w:val="de-DE"/>
        </w:rPr>
      </w:pPr>
      <w:r w:rsidRPr="00FA62F5">
        <w:rPr>
          <w:sz w:val="20"/>
          <w:szCs w:val="20"/>
          <w:lang w:val="de-DE" w:eastAsia="de-DE"/>
        </w:rPr>
        <w:t>Pavel Langpaul - Fagott</w:t>
      </w:r>
    </w:p>
    <w:p w14:paraId="7434F564" w14:textId="6327BA78" w:rsidR="00FA62F5" w:rsidRPr="00681F9B" w:rsidRDefault="00FA62F5" w:rsidP="00FA62F5">
      <w:pPr>
        <w:pStyle w:val="Bezmezer"/>
        <w:rPr>
          <w:sz w:val="20"/>
          <w:szCs w:val="20"/>
          <w:lang w:val="de-DE"/>
        </w:rPr>
        <w:sectPr w:rsidR="00FA62F5" w:rsidRPr="00681F9B" w:rsidSect="00274BD3">
          <w:type w:val="continuous"/>
          <w:pgSz w:w="11906" w:h="16838"/>
          <w:pgMar w:top="1135" w:right="1417" w:bottom="1985" w:left="2127" w:header="708" w:footer="279" w:gutter="0"/>
          <w:cols w:num="2" w:space="1418"/>
          <w:docGrid w:linePitch="360"/>
        </w:sectPr>
      </w:pPr>
      <w:r w:rsidRPr="00FA62F5">
        <w:rPr>
          <w:sz w:val="20"/>
          <w:szCs w:val="20"/>
          <w:lang w:val="de-DE" w:eastAsia="de-DE"/>
        </w:rPr>
        <w:t xml:space="preserve">Jiří </w:t>
      </w:r>
      <w:proofErr w:type="spellStart"/>
      <w:r w:rsidRPr="00FA62F5">
        <w:rPr>
          <w:sz w:val="20"/>
          <w:szCs w:val="20"/>
          <w:lang w:val="de-DE" w:eastAsia="de-DE"/>
        </w:rPr>
        <w:t>Špaček</w:t>
      </w:r>
      <w:proofErr w:type="spellEnd"/>
      <w:r w:rsidRPr="00FA62F5">
        <w:rPr>
          <w:sz w:val="20"/>
          <w:szCs w:val="20"/>
          <w:lang w:val="de-DE" w:eastAsia="de-DE"/>
        </w:rPr>
        <w:t xml:space="preserve"> - Waldhorn</w:t>
      </w:r>
    </w:p>
    <w:p w14:paraId="3E6103E8" w14:textId="1E827ADE" w:rsidR="00681F9B" w:rsidRDefault="00681F9B" w:rsidP="00FA62F5">
      <w:pPr>
        <w:pStyle w:val="Bezmezer"/>
        <w:rPr>
          <w:rFonts w:cstheme="minorHAnsi"/>
          <w:sz w:val="16"/>
          <w:szCs w:val="16"/>
          <w:lang w:val="de-DE"/>
        </w:rPr>
      </w:pPr>
    </w:p>
    <w:p w14:paraId="6C831742" w14:textId="4B4E2EC1" w:rsidR="006E4D56" w:rsidRPr="006E4D56" w:rsidRDefault="006E4D56" w:rsidP="00FA62F5">
      <w:pPr>
        <w:pStyle w:val="Bezmezer"/>
        <w:rPr>
          <w:rFonts w:cstheme="minorHAnsi"/>
          <w:sz w:val="16"/>
          <w:szCs w:val="16"/>
          <w:lang w:val="de-DE"/>
        </w:rPr>
      </w:pPr>
    </w:p>
    <w:p w14:paraId="45442D17" w14:textId="6D62FF57" w:rsidR="001E5643" w:rsidRPr="000B7D7B" w:rsidRDefault="00000000" w:rsidP="006E4D56">
      <w:pPr>
        <w:pStyle w:val="Bezmezer"/>
        <w:spacing w:after="80"/>
        <w:jc w:val="center"/>
        <w:rPr>
          <w:rFonts w:cstheme="minorHAnsi"/>
          <w:sz w:val="24"/>
          <w:szCs w:val="24"/>
          <w:lang w:val="de-DE"/>
        </w:rPr>
      </w:pPr>
      <w:hyperlink r:id="rId11" w:history="1">
        <w:r w:rsidR="001E5643" w:rsidRPr="000B7D7B">
          <w:rPr>
            <w:rStyle w:val="Hypertextovodkaz"/>
            <w:rFonts w:cstheme="minorHAnsi"/>
            <w:sz w:val="24"/>
            <w:szCs w:val="24"/>
            <w:lang w:val="de-DE"/>
          </w:rPr>
          <w:t>www.agsonata.cz/cn</w:t>
        </w:r>
      </w:hyperlink>
    </w:p>
    <w:p w14:paraId="1C545B66" w14:textId="24D09410" w:rsidR="001E5643" w:rsidRPr="000B7D7B" w:rsidRDefault="00000000" w:rsidP="006E4D56">
      <w:pPr>
        <w:pStyle w:val="Bezmezer"/>
        <w:spacing w:after="80"/>
        <w:jc w:val="center"/>
        <w:rPr>
          <w:rFonts w:cstheme="minorHAnsi"/>
          <w:sz w:val="24"/>
          <w:szCs w:val="24"/>
          <w:lang w:val="de-DE"/>
        </w:rPr>
      </w:pPr>
      <w:hyperlink r:id="rId12" w:history="1">
        <w:r w:rsidR="001E5643" w:rsidRPr="000B7D7B">
          <w:rPr>
            <w:rStyle w:val="Hypertextovodkaz"/>
            <w:rFonts w:cstheme="minorHAnsi"/>
            <w:sz w:val="24"/>
            <w:szCs w:val="24"/>
            <w:lang w:val="de-DE"/>
          </w:rPr>
          <w:t>www.nonet.cz</w:t>
        </w:r>
      </w:hyperlink>
    </w:p>
    <w:p w14:paraId="49B6AD0B" w14:textId="77777777" w:rsidR="001E5643" w:rsidRDefault="001E5643" w:rsidP="001E5643">
      <w:pPr>
        <w:pStyle w:val="Bezmezer"/>
        <w:jc w:val="center"/>
        <w:rPr>
          <w:rFonts w:cstheme="minorHAnsi"/>
          <w:sz w:val="20"/>
          <w:szCs w:val="20"/>
          <w:lang w:val="de-DE"/>
        </w:rPr>
      </w:pPr>
    </w:p>
    <w:sectPr w:rsidR="001E5643" w:rsidSect="00274BD3">
      <w:type w:val="continuous"/>
      <w:pgSz w:w="11906" w:h="16838"/>
      <w:pgMar w:top="1135" w:right="1417" w:bottom="1843" w:left="1417" w:header="708" w:footer="27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87AF71" w14:textId="77777777" w:rsidR="00274BD3" w:rsidRDefault="00274BD3" w:rsidP="00F01B80">
      <w:pPr>
        <w:spacing w:after="0" w:line="240" w:lineRule="auto"/>
      </w:pPr>
      <w:r>
        <w:separator/>
      </w:r>
    </w:p>
  </w:endnote>
  <w:endnote w:type="continuationSeparator" w:id="0">
    <w:p w14:paraId="025D80A4" w14:textId="77777777" w:rsidR="00274BD3" w:rsidRDefault="00274BD3" w:rsidP="00F01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A22291" w14:textId="77777777" w:rsidR="00DB1CD7" w:rsidRDefault="00DB1CD7" w:rsidP="00F01B80">
    <w:pPr>
      <w:spacing w:after="0"/>
      <w:jc w:val="center"/>
      <w:rPr>
        <w:b/>
        <w:sz w:val="16"/>
        <w:szCs w:val="16"/>
        <w:lang w:val="de-DE"/>
      </w:rPr>
    </w:pPr>
  </w:p>
  <w:p w14:paraId="67056B1A" w14:textId="77777777" w:rsidR="00DB1CD7" w:rsidRDefault="00DB1CD7" w:rsidP="00F01B80">
    <w:pPr>
      <w:spacing w:after="0"/>
      <w:jc w:val="center"/>
      <w:rPr>
        <w:b/>
        <w:sz w:val="16"/>
        <w:szCs w:val="16"/>
        <w:lang w:val="de-DE"/>
      </w:rPr>
    </w:pPr>
  </w:p>
  <w:p w14:paraId="6B27108D" w14:textId="7F15164C" w:rsidR="00F01B80" w:rsidRDefault="00DB1CD7" w:rsidP="00F01B80">
    <w:pPr>
      <w:spacing w:after="0"/>
      <w:jc w:val="center"/>
      <w:rPr>
        <w:sz w:val="16"/>
        <w:szCs w:val="16"/>
      </w:rPr>
    </w:pPr>
    <w:r>
      <w:rPr>
        <w:b/>
        <w:noProof/>
        <w:sz w:val="16"/>
        <w:szCs w:val="16"/>
        <w:lang w:val="de-DE"/>
      </w:rPr>
      <mc:AlternateContent>
        <mc:Choice Requires="wpg">
          <w:drawing>
            <wp:anchor distT="0" distB="0" distL="114300" distR="114300" simplePos="0" relativeHeight="251660288" behindDoc="0" locked="0" layoutInCell="1" allowOverlap="1" wp14:anchorId="17897287" wp14:editId="7BC00E8F">
              <wp:simplePos x="0" y="0"/>
              <wp:positionH relativeFrom="column">
                <wp:posOffset>-82377</wp:posOffset>
              </wp:positionH>
              <wp:positionV relativeFrom="paragraph">
                <wp:posOffset>-198986</wp:posOffset>
              </wp:positionV>
              <wp:extent cx="5944177" cy="283845"/>
              <wp:effectExtent l="0" t="0" r="19050" b="20955"/>
              <wp:wrapNone/>
              <wp:docPr id="1946053377" name="Skupina 2"/>
              <wp:cNvGraphicFramePr/>
              <a:graphic xmlns:a="http://schemas.openxmlformats.org/drawingml/2006/main">
                <a:graphicData uri="http://schemas.microsoft.com/office/word/2010/wordprocessingGroup">
                  <wpg:wgp>
                    <wpg:cNvGrpSpPr/>
                    <wpg:grpSpPr>
                      <a:xfrm>
                        <a:off x="0" y="0"/>
                        <a:ext cx="5944177" cy="283845"/>
                        <a:chOff x="0" y="0"/>
                        <a:chExt cx="5944177" cy="283845"/>
                      </a:xfrm>
                    </wpg:grpSpPr>
                    <wps:wsp>
                      <wps:cNvPr id="4" name="Přímá spojnice 4"/>
                      <wps:cNvCnPr/>
                      <wps:spPr>
                        <a:xfrm>
                          <a:off x="83127" y="145473"/>
                          <a:ext cx="5861050" cy="0"/>
                        </a:xfrm>
                        <a:prstGeom prst="line">
                          <a:avLst/>
                        </a:prstGeom>
                        <a:ln w="9525" cmpd="dbl">
                          <a:solidFill>
                            <a:schemeClr val="accent1"/>
                          </a:solidFill>
                          <a:prstDash val="sysDot"/>
                        </a:ln>
                      </wps:spPr>
                      <wps:style>
                        <a:lnRef idx="1">
                          <a:schemeClr val="accent1"/>
                        </a:lnRef>
                        <a:fillRef idx="0">
                          <a:schemeClr val="accent1"/>
                        </a:fillRef>
                        <a:effectRef idx="0">
                          <a:schemeClr val="accent1"/>
                        </a:effectRef>
                        <a:fontRef idx="minor">
                          <a:schemeClr val="tx1"/>
                        </a:fontRef>
                      </wps:style>
                      <wps:bodyPr/>
                    </wps:wsp>
                    <wps:wsp>
                      <wps:cNvPr id="1271546100" name="Textové pole 1"/>
                      <wps:cNvSpPr txBox="1"/>
                      <wps:spPr>
                        <a:xfrm>
                          <a:off x="0" y="0"/>
                          <a:ext cx="671830" cy="283845"/>
                        </a:xfrm>
                        <a:prstGeom prst="rect">
                          <a:avLst/>
                        </a:prstGeom>
                        <a:solidFill>
                          <a:schemeClr val="lt1"/>
                        </a:solidFill>
                        <a:ln w="6350">
                          <a:solidFill>
                            <a:schemeClr val="accent1">
                              <a:lumMod val="60000"/>
                              <a:lumOff val="40000"/>
                            </a:schemeClr>
                          </a:solidFill>
                        </a:ln>
                      </wps:spPr>
                      <wps:txbx>
                        <w:txbxContent>
                          <w:p w14:paraId="4310CEF0" w14:textId="2159A2A8" w:rsidR="00F01B80" w:rsidRPr="00AE5E35" w:rsidRDefault="00F01B80">
                            <w:pPr>
                              <w:rPr>
                                <w:color w:val="1F4E79" w:themeColor="accent1" w:themeShade="80"/>
                              </w:rPr>
                            </w:pPr>
                            <w:r w:rsidRPr="00AE5E35">
                              <w:rPr>
                                <w:color w:val="1F4E79" w:themeColor="accent1" w:themeShade="80"/>
                              </w:rPr>
                              <w:t>Kontakt: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7897287" id="Skupina 2" o:spid="_x0000_s1026" style="position:absolute;left:0;text-align:left;margin-left:-6.5pt;margin-top:-15.65pt;width:468.05pt;height:22.35pt;z-index:251660288" coordsize="59441,2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">
              <v:line id="Přímá spojnice 4" o:spid="_x0000_s1027" style="position:absolute;visibility:visible;mso-wrap-style:square" from="831,1454" to="59441,1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" strokecolor="#5b9bd5 [3204]">
                <v:stroke dashstyle="1 1" linestyle="thinThin" joinstyle="miter"/>
              </v:line>
              <v:shapetype id="_x0000_t202" coordsize="21600,21600" o:spt="202" path="m,l,21600r21600,l21600,xe">
                <v:stroke joinstyle="miter"/>
                <v:path gradientshapeok="t" o:connecttype="rect"/>
              </v:shapetype>
              <v:shape id="Textové pole 1" o:spid="_x0000_s1028" type="#_x0000_t202" style="position:absolute;width:6718;height:2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" fillcolor="white [3201]" strokecolor="#9cc2e5 [1940]" strokeweight=".5pt">
                <v:textbox>
                  <w:txbxContent>
                    <w:p w14:paraId="4310CEF0" w14:textId="2159A2A8" w:rsidR="00F01B80" w:rsidRPr="00AE5E35" w:rsidRDefault="00F01B80">
                      <w:pPr>
                        <w:rPr>
                          <w:color w:val="1F4E79" w:themeColor="accent1" w:themeShade="80"/>
                        </w:rPr>
                      </w:pPr>
                      <w:r w:rsidRPr="00AE5E35">
                        <w:rPr>
                          <w:color w:val="1F4E79" w:themeColor="accent1" w:themeShade="80"/>
                        </w:rPr>
                        <w:t>Kontakt:</w:t>
                      </w:r>
                    </w:p>
                  </w:txbxContent>
                </v:textbox>
              </v:shape>
            </v:group>
          </w:pict>
        </mc:Fallback>
      </mc:AlternateContent>
    </w:r>
    <w:r w:rsidR="00F01B80" w:rsidRPr="007E73D9">
      <w:rPr>
        <w:b/>
        <w:sz w:val="16"/>
        <w:szCs w:val="16"/>
        <w:lang w:val="de-DE"/>
      </w:rPr>
      <w:t>SONATA Künstleragentur</w:t>
    </w:r>
    <w:r w:rsidR="00F01B80" w:rsidRPr="00177A64">
      <w:rPr>
        <w:sz w:val="16"/>
        <w:szCs w:val="16"/>
      </w:rPr>
      <w:t>,</w:t>
    </w:r>
  </w:p>
  <w:p w14:paraId="65F77E2F" w14:textId="5B8DEF98" w:rsidR="00AE5E35" w:rsidRPr="00177A64" w:rsidRDefault="00AE5E35" w:rsidP="00F01B80">
    <w:pPr>
      <w:spacing w:after="0"/>
      <w:jc w:val="center"/>
      <w:rPr>
        <w:sz w:val="16"/>
        <w:szCs w:val="16"/>
      </w:rPr>
    </w:pPr>
    <w:r>
      <w:rPr>
        <w:sz w:val="16"/>
        <w:szCs w:val="16"/>
      </w:rPr>
      <w:t>David Stranofský</w:t>
    </w:r>
  </w:p>
  <w:p w14:paraId="54B2E7D5" w14:textId="028C390A" w:rsidR="00F01B80" w:rsidRPr="00177A64" w:rsidRDefault="00F01B80" w:rsidP="00F01B80">
    <w:pPr>
      <w:spacing w:after="0"/>
      <w:jc w:val="center"/>
      <w:rPr>
        <w:color w:val="000000"/>
        <w:sz w:val="16"/>
        <w:szCs w:val="16"/>
        <w:lang w:val="it-IT"/>
      </w:rPr>
    </w:pPr>
    <w:r w:rsidRPr="00177A64">
      <w:rPr>
        <w:color w:val="000000"/>
        <w:sz w:val="16"/>
        <w:szCs w:val="16"/>
        <w:lang w:val="it-IT"/>
      </w:rPr>
      <w:t xml:space="preserve">Dykova </w:t>
    </w:r>
    <w:r w:rsidR="00AE5E35">
      <w:rPr>
        <w:color w:val="000000"/>
        <w:sz w:val="16"/>
        <w:szCs w:val="16"/>
        <w:lang w:val="it-IT"/>
      </w:rPr>
      <w:t>999/</w:t>
    </w:r>
    <w:r w:rsidRPr="00177A64">
      <w:rPr>
        <w:color w:val="000000"/>
        <w:sz w:val="16"/>
        <w:szCs w:val="16"/>
        <w:lang w:val="it-IT"/>
      </w:rPr>
      <w:t>16, CZ 101 00 Praha 10</w:t>
    </w:r>
  </w:p>
  <w:p w14:paraId="6E74C4E5" w14:textId="77777777" w:rsidR="00F01B80" w:rsidRPr="00177A64" w:rsidRDefault="00F01B80" w:rsidP="00F01B80">
    <w:pPr>
      <w:spacing w:after="0"/>
      <w:jc w:val="center"/>
      <w:rPr>
        <w:color w:val="000000"/>
        <w:sz w:val="16"/>
        <w:szCs w:val="16"/>
        <w:lang w:val="it-IT"/>
      </w:rPr>
    </w:pPr>
    <w:r w:rsidRPr="00177A64">
      <w:rPr>
        <w:color w:val="000000"/>
        <w:sz w:val="16"/>
        <w:szCs w:val="16"/>
        <w:lang w:val="it-IT"/>
      </w:rPr>
      <w:t>Tel.: +420-224 251 531</w:t>
    </w:r>
  </w:p>
  <w:p w14:paraId="10B28253" w14:textId="77777777" w:rsidR="00F01B80" w:rsidRPr="00177A64" w:rsidRDefault="00000000" w:rsidP="00F01B80">
    <w:pPr>
      <w:autoSpaceDE w:val="0"/>
      <w:autoSpaceDN w:val="0"/>
      <w:adjustRightInd w:val="0"/>
      <w:spacing w:after="0"/>
      <w:jc w:val="center"/>
      <w:rPr>
        <w:color w:val="000000"/>
        <w:sz w:val="16"/>
        <w:szCs w:val="16"/>
      </w:rPr>
    </w:pPr>
    <w:hyperlink r:id="rId1" w:history="1">
      <w:r w:rsidR="00F01B80" w:rsidRPr="00177A64">
        <w:rPr>
          <w:rStyle w:val="Hypertextovodkaz"/>
          <w:sz w:val="16"/>
          <w:szCs w:val="16"/>
        </w:rPr>
        <w:t>office@agsonata.cz</w:t>
      </w:r>
    </w:hyperlink>
    <w:r w:rsidR="00F01B80" w:rsidRPr="00177A64">
      <w:rPr>
        <w:color w:val="231F20"/>
        <w:sz w:val="16"/>
        <w:szCs w:val="16"/>
      </w:rPr>
      <w:t xml:space="preserve">, </w:t>
    </w:r>
    <w:hyperlink r:id="rId2" w:history="1">
      <w:r w:rsidR="00F01B80" w:rsidRPr="00E505FC">
        <w:rPr>
          <w:rStyle w:val="Hypertextovodkaz"/>
          <w:sz w:val="16"/>
          <w:szCs w:val="16"/>
        </w:rPr>
        <w:t>www.agsonata.cz</w:t>
      </w:r>
    </w:hyperlink>
  </w:p>
  <w:p w14:paraId="7FC33E12" w14:textId="77777777" w:rsidR="00F01B80" w:rsidRDefault="00F01B8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2DD36" w14:textId="77777777" w:rsidR="00274BD3" w:rsidRDefault="00274BD3" w:rsidP="00F01B80">
      <w:pPr>
        <w:spacing w:after="0" w:line="240" w:lineRule="auto"/>
      </w:pPr>
      <w:r>
        <w:separator/>
      </w:r>
    </w:p>
  </w:footnote>
  <w:footnote w:type="continuationSeparator" w:id="0">
    <w:p w14:paraId="496CF8FF" w14:textId="77777777" w:rsidR="00274BD3" w:rsidRDefault="00274BD3" w:rsidP="00F01B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190"/>
    <w:rsid w:val="000001B8"/>
    <w:rsid w:val="000B7D7B"/>
    <w:rsid w:val="001139C2"/>
    <w:rsid w:val="001162E4"/>
    <w:rsid w:val="00167F82"/>
    <w:rsid w:val="001E5643"/>
    <w:rsid w:val="00226319"/>
    <w:rsid w:val="00274BD3"/>
    <w:rsid w:val="0027768B"/>
    <w:rsid w:val="0028340D"/>
    <w:rsid w:val="002B2429"/>
    <w:rsid w:val="002C6E88"/>
    <w:rsid w:val="002E1899"/>
    <w:rsid w:val="002F328A"/>
    <w:rsid w:val="003946B0"/>
    <w:rsid w:val="003B1501"/>
    <w:rsid w:val="003B2E87"/>
    <w:rsid w:val="00404A9D"/>
    <w:rsid w:val="00430801"/>
    <w:rsid w:val="004A4E83"/>
    <w:rsid w:val="004C54A7"/>
    <w:rsid w:val="00500ECA"/>
    <w:rsid w:val="00523F95"/>
    <w:rsid w:val="005321FF"/>
    <w:rsid w:val="005463AC"/>
    <w:rsid w:val="0058049D"/>
    <w:rsid w:val="005F2308"/>
    <w:rsid w:val="00681F9B"/>
    <w:rsid w:val="006E4D56"/>
    <w:rsid w:val="006E6C0C"/>
    <w:rsid w:val="00707F35"/>
    <w:rsid w:val="0075492E"/>
    <w:rsid w:val="007D339C"/>
    <w:rsid w:val="00863190"/>
    <w:rsid w:val="008766FF"/>
    <w:rsid w:val="00A4122D"/>
    <w:rsid w:val="00A60074"/>
    <w:rsid w:val="00A71DE3"/>
    <w:rsid w:val="00AE5E35"/>
    <w:rsid w:val="00B45A1F"/>
    <w:rsid w:val="00BE5E98"/>
    <w:rsid w:val="00D125FA"/>
    <w:rsid w:val="00DB1009"/>
    <w:rsid w:val="00DB1CD7"/>
    <w:rsid w:val="00E0759C"/>
    <w:rsid w:val="00E22399"/>
    <w:rsid w:val="00E43F5A"/>
    <w:rsid w:val="00E76063"/>
    <w:rsid w:val="00EC5361"/>
    <w:rsid w:val="00F01B80"/>
    <w:rsid w:val="00F3276B"/>
    <w:rsid w:val="00F440B8"/>
    <w:rsid w:val="00F52D20"/>
    <w:rsid w:val="00F55AA2"/>
    <w:rsid w:val="00F61CD2"/>
    <w:rsid w:val="00FA62F5"/>
    <w:rsid w:val="00FF0C2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1E529"/>
  <w15:chartTrackingRefBased/>
  <w15:docId w15:val="{0902992E-16A3-4BA8-96E2-B582FC7EB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63190"/>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S-centrovannadpis">
    <w:name w:val="DS - centrovaný nadpis"/>
    <w:basedOn w:val="Vrazncitt"/>
    <w:link w:val="DS-centrovannadpisChar"/>
    <w:qFormat/>
    <w:rsid w:val="00DB1009"/>
    <w:pPr>
      <w:spacing w:before="0" w:after="0"/>
      <w:ind w:left="567" w:right="624"/>
    </w:pPr>
    <w:rPr>
      <w:b/>
      <w:color w:val="266196"/>
      <w:sz w:val="28"/>
    </w:rPr>
  </w:style>
  <w:style w:type="character" w:customStyle="1" w:styleId="DS-centrovannadpisChar">
    <w:name w:val="DS - centrovaný nadpis Char"/>
    <w:basedOn w:val="VrazncittChar"/>
    <w:link w:val="DS-centrovannadpis"/>
    <w:rsid w:val="00DB1009"/>
    <w:rPr>
      <w:b/>
      <w:i/>
      <w:iCs/>
      <w:color w:val="266196"/>
      <w:sz w:val="28"/>
    </w:rPr>
  </w:style>
  <w:style w:type="paragraph" w:styleId="Vrazncitt">
    <w:name w:val="Intense Quote"/>
    <w:basedOn w:val="Normln"/>
    <w:next w:val="Normln"/>
    <w:link w:val="VrazncittChar"/>
    <w:uiPriority w:val="30"/>
    <w:qFormat/>
    <w:rsid w:val="00DB100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VrazncittChar">
    <w:name w:val="Výrazný citát Char"/>
    <w:basedOn w:val="Standardnpsmoodstavce"/>
    <w:link w:val="Vrazncitt"/>
    <w:uiPriority w:val="30"/>
    <w:rsid w:val="00DB1009"/>
    <w:rPr>
      <w:i/>
      <w:iCs/>
      <w:color w:val="5B9BD5" w:themeColor="accent1"/>
    </w:rPr>
  </w:style>
  <w:style w:type="paragraph" w:styleId="Normlnweb">
    <w:name w:val="Normal (Web)"/>
    <w:basedOn w:val="Normln"/>
    <w:uiPriority w:val="99"/>
    <w:rsid w:val="00863190"/>
    <w:pPr>
      <w:spacing w:before="100" w:beforeAutospacing="1" w:after="100" w:afterAutospacing="1" w:line="240" w:lineRule="auto"/>
    </w:pPr>
    <w:rPr>
      <w:rFonts w:ascii="Times New Roman" w:eastAsia="SimSun" w:hAnsi="Times New Roman" w:cs="Times New Roman"/>
      <w:sz w:val="24"/>
      <w:szCs w:val="24"/>
      <w:lang w:eastAsia="zh-CN"/>
    </w:rPr>
  </w:style>
  <w:style w:type="paragraph" w:styleId="Nzev">
    <w:name w:val="Title"/>
    <w:basedOn w:val="Normln"/>
    <w:next w:val="Normln"/>
    <w:link w:val="NzevChar"/>
    <w:uiPriority w:val="10"/>
    <w:qFormat/>
    <w:rsid w:val="004A4E8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4A4E83"/>
    <w:rPr>
      <w:rFonts w:asciiTheme="majorHAnsi" w:eastAsiaTheme="majorEastAsia" w:hAnsiTheme="majorHAnsi" w:cstheme="majorBidi"/>
      <w:spacing w:val="-10"/>
      <w:kern w:val="28"/>
      <w:sz w:val="56"/>
      <w:szCs w:val="56"/>
    </w:rPr>
  </w:style>
  <w:style w:type="paragraph" w:styleId="Zhlav">
    <w:name w:val="header"/>
    <w:basedOn w:val="Normln"/>
    <w:link w:val="ZhlavChar"/>
    <w:uiPriority w:val="99"/>
    <w:unhideWhenUsed/>
    <w:rsid w:val="00F01B8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01B80"/>
  </w:style>
  <w:style w:type="paragraph" w:styleId="Zpat">
    <w:name w:val="footer"/>
    <w:basedOn w:val="Normln"/>
    <w:link w:val="ZpatChar"/>
    <w:uiPriority w:val="99"/>
    <w:unhideWhenUsed/>
    <w:rsid w:val="00F01B80"/>
    <w:pPr>
      <w:tabs>
        <w:tab w:val="center" w:pos="4536"/>
        <w:tab w:val="right" w:pos="9072"/>
      </w:tabs>
      <w:spacing w:after="0" w:line="240" w:lineRule="auto"/>
    </w:pPr>
  </w:style>
  <w:style w:type="character" w:customStyle="1" w:styleId="ZpatChar">
    <w:name w:val="Zápatí Char"/>
    <w:basedOn w:val="Standardnpsmoodstavce"/>
    <w:link w:val="Zpat"/>
    <w:uiPriority w:val="99"/>
    <w:rsid w:val="00F01B80"/>
  </w:style>
  <w:style w:type="character" w:styleId="Hypertextovodkaz">
    <w:name w:val="Hyperlink"/>
    <w:basedOn w:val="Standardnpsmoodstavce"/>
    <w:rsid w:val="00F01B80"/>
    <w:rPr>
      <w:color w:val="0000FF"/>
      <w:u w:val="single"/>
    </w:rPr>
  </w:style>
  <w:style w:type="paragraph" w:styleId="Bezmezer">
    <w:name w:val="No Spacing"/>
    <w:uiPriority w:val="1"/>
    <w:qFormat/>
    <w:rsid w:val="00FA62F5"/>
    <w:pPr>
      <w:spacing w:after="0" w:line="240" w:lineRule="auto"/>
    </w:pPr>
  </w:style>
  <w:style w:type="character" w:styleId="Nevyeenzmnka">
    <w:name w:val="Unresolved Mention"/>
    <w:basedOn w:val="Standardnpsmoodstavce"/>
    <w:uiPriority w:val="99"/>
    <w:semiHidden/>
    <w:unhideWhenUsed/>
    <w:rsid w:val="001E5643"/>
    <w:rPr>
      <w:color w:val="605E5C"/>
      <w:shd w:val="clear" w:color="auto" w:fill="E1DFDD"/>
    </w:rPr>
  </w:style>
  <w:style w:type="character" w:styleId="Sledovanodkaz">
    <w:name w:val="FollowedHyperlink"/>
    <w:basedOn w:val="Standardnpsmoodstavce"/>
    <w:uiPriority w:val="99"/>
    <w:semiHidden/>
    <w:unhideWhenUsed/>
    <w:rsid w:val="001E564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3552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agsonata.cz/get.file.php?src=doc.00757.pdf" TargetMode="External"/><Relationship Id="rId12" Type="http://schemas.openxmlformats.org/officeDocument/2006/relationships/hyperlink" Target="http://www.nonet.c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drv.ms/f/s!AgUcrGjKuchMg-RgySJO4HJs9zpdcQ?e=cUUBGR" TargetMode="External"/><Relationship Id="rId11" Type="http://schemas.openxmlformats.org/officeDocument/2006/relationships/hyperlink" Target="http://www.agsonata.cz/cn" TargetMode="External"/><Relationship Id="rId5" Type="http://schemas.openxmlformats.org/officeDocument/2006/relationships/endnotes" Target="endnotes.xml"/><Relationship Id="rId10" Type="http://schemas.openxmlformats.org/officeDocument/2006/relationships/image" Target="media/image1.jpeg"/><Relationship Id="rId4" Type="http://schemas.openxmlformats.org/officeDocument/2006/relationships/footnotes" Target="footnotes.xml"/><Relationship Id="rId9" Type="http://schemas.openxmlformats.org/officeDocument/2006/relationships/hyperlink" Target="https://open.spotify.com/artist/4FBpmpwGLoIF2Hh9c27cde?si=rWgcNsipRAuOcsU7TQCc4w"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agsonata.cz" TargetMode="External"/><Relationship Id="rId1" Type="http://schemas.openxmlformats.org/officeDocument/2006/relationships/hyperlink" Target="mailto:office@agsonata.cz"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Pages>
  <Words>477</Words>
  <Characters>2820</Characters>
  <Application>Microsoft Office Word</Application>
  <DocSecurity>0</DocSecurity>
  <Lines>23</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 Stranofský</cp:lastModifiedBy>
  <cp:revision>43</cp:revision>
  <cp:lastPrinted>2024-02-06T14:35:00Z</cp:lastPrinted>
  <dcterms:created xsi:type="dcterms:W3CDTF">2024-02-06T09:26:00Z</dcterms:created>
  <dcterms:modified xsi:type="dcterms:W3CDTF">2024-04-29T07:11:00Z</dcterms:modified>
</cp:coreProperties>
</file>